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AAE52" w14:textId="360BCE6C" w:rsidR="00D80769" w:rsidRPr="00B22939" w:rsidRDefault="00D80769" w:rsidP="00A65B2A">
      <w:pPr>
        <w:spacing w:after="0" w:line="240" w:lineRule="auto"/>
        <w:jc w:val="center"/>
        <w:rPr>
          <w:rFonts w:ascii="Arial" w:hAnsi="Arial" w:cs="Arial"/>
        </w:rPr>
      </w:pPr>
    </w:p>
    <w:p w14:paraId="703714C7" w14:textId="43CCE3B0" w:rsidR="00454F09" w:rsidRPr="00B22939" w:rsidRDefault="000F42C4" w:rsidP="00840839">
      <w:pPr>
        <w:spacing w:after="0" w:line="240" w:lineRule="auto"/>
        <w:rPr>
          <w:rFonts w:ascii="Arial" w:hAnsi="Arial" w:cs="Arial"/>
          <w:b/>
          <w:bCs/>
          <w:sz w:val="52"/>
          <w:szCs w:val="52"/>
        </w:rPr>
      </w:pPr>
      <w:r>
        <w:rPr>
          <w:rFonts w:ascii="Arial" w:hAnsi="Arial"/>
          <w:b/>
          <w:sz w:val="52"/>
        </w:rPr>
        <w:t xml:space="preserve">Réduire les coûts, améliorer l'approvisionnement </w:t>
      </w:r>
    </w:p>
    <w:p w14:paraId="7E32CAC3" w14:textId="3D1FD060" w:rsidR="00454F09" w:rsidRPr="00B22939" w:rsidRDefault="00E72543" w:rsidP="005E6039">
      <w:pPr>
        <w:spacing w:after="0" w:line="240" w:lineRule="auto"/>
        <w:jc w:val="both"/>
        <w:rPr>
          <w:rFonts w:ascii="Arial" w:hAnsi="Arial" w:cs="Arial"/>
          <w:b/>
          <w:bCs/>
          <w:sz w:val="24"/>
          <w:szCs w:val="24"/>
        </w:rPr>
      </w:pPr>
      <w:r>
        <w:rPr>
          <w:rFonts w:ascii="Arial" w:hAnsi="Arial"/>
          <w:b/>
          <w:sz w:val="24"/>
        </w:rPr>
        <w:br/>
        <w:t>Comment l'achat stratégique permet de gagner en puissance et de renforcer sa position à l'ère du numérique</w:t>
      </w:r>
      <w:r w:rsidR="005321FA">
        <w:rPr>
          <w:rFonts w:ascii="Arial" w:hAnsi="Arial"/>
          <w:b/>
          <w:sz w:val="24"/>
        </w:rPr>
        <w:t xml:space="preserve"> ! </w:t>
      </w:r>
    </w:p>
    <w:p w14:paraId="6525E201" w14:textId="6AB3764A" w:rsidR="00C37D79" w:rsidRPr="00B22939" w:rsidRDefault="003B5495" w:rsidP="005E6039">
      <w:pPr>
        <w:spacing w:after="0" w:line="240" w:lineRule="auto"/>
        <w:jc w:val="both"/>
        <w:rPr>
          <w:rFonts w:ascii="Arial" w:hAnsi="Arial" w:cs="Arial"/>
          <w:b/>
          <w:bCs/>
        </w:rPr>
      </w:pPr>
      <w:r>
        <w:rPr>
          <w:rFonts w:ascii="Arial" w:hAnsi="Arial"/>
          <w:b/>
          <w:sz w:val="28"/>
        </w:rPr>
        <w:br/>
      </w:r>
      <w:r>
        <w:rPr>
          <w:rFonts w:ascii="Arial" w:hAnsi="Arial"/>
          <w:b/>
        </w:rPr>
        <w:t xml:space="preserve">L'augmentation des coûts d'approvisionnement et d'énergie, ainsi que les goulets d'étranglement pour les matières premières et produits primaires critiques imposent de nouvelles stratégies d'achat. Afin que le département des achats puisse se concentrer sur ce sujet, ses collaborateurs doivent être déchargés des tâches routinières. Pour y parvenir, il est possible, par exemple, d'automatiser l'approvisionnement en articles de type C. Des systèmes, des solutions et des plates-formes numériques performants existent déjà à cet effet. </w:t>
      </w:r>
    </w:p>
    <w:p w14:paraId="139DEE69" w14:textId="2ACB045D" w:rsidR="003B1B97" w:rsidRPr="00B22939" w:rsidRDefault="003B1B97" w:rsidP="00B22939">
      <w:pPr>
        <w:spacing w:after="0" w:line="240" w:lineRule="auto"/>
        <w:rPr>
          <w:rFonts w:ascii="Arial" w:hAnsi="Arial" w:cs="Arial"/>
          <w:i/>
          <w:iCs/>
        </w:rPr>
      </w:pPr>
    </w:p>
    <w:p w14:paraId="4750D60A" w14:textId="177F145A" w:rsidR="00E829A5" w:rsidRDefault="00416FF6" w:rsidP="005E6039">
      <w:pPr>
        <w:spacing w:after="0" w:line="240" w:lineRule="auto"/>
        <w:jc w:val="both"/>
        <w:rPr>
          <w:rFonts w:ascii="Arial" w:hAnsi="Arial" w:cs="Arial"/>
        </w:rPr>
      </w:pPr>
      <w:r>
        <w:rPr>
          <w:rFonts w:ascii="Arial" w:hAnsi="Arial"/>
        </w:rPr>
        <w:t xml:space="preserve">Une offre limitée et des prix des matières premières extrêmement fluctuants n'ont rien de nouveau. Le fait que pratiquement tous les groupes de matières premières présentent des difficultés d'approvisionnement en même temps est, quant à lui, une nouveauté et constitue un énorme défi pour le département des achats. Cela est d'autant plus vrai que les répercussions de la crise du coronavirus n'ont pas complètement fini de se faire sentir et que l'évolution en Chine est difficilement prévisible. </w:t>
      </w:r>
    </w:p>
    <w:p w14:paraId="6799B629" w14:textId="77777777" w:rsidR="00E829A5" w:rsidRDefault="00E829A5" w:rsidP="00B22939">
      <w:pPr>
        <w:spacing w:after="0" w:line="240" w:lineRule="auto"/>
        <w:rPr>
          <w:rFonts w:ascii="Arial" w:hAnsi="Arial" w:cs="Arial"/>
        </w:rPr>
      </w:pPr>
    </w:p>
    <w:p w14:paraId="0EEE2342" w14:textId="77777777" w:rsidR="00E829A5" w:rsidRPr="00183FF2" w:rsidRDefault="00E829A5" w:rsidP="005E6039">
      <w:pPr>
        <w:spacing w:after="0" w:line="240" w:lineRule="auto"/>
        <w:jc w:val="both"/>
        <w:rPr>
          <w:rFonts w:ascii="Arial" w:hAnsi="Arial" w:cs="Arial"/>
          <w:highlight w:val="yellow"/>
        </w:rPr>
      </w:pPr>
      <w:r>
        <w:rPr>
          <w:rFonts w:ascii="Arial" w:hAnsi="Arial"/>
          <w:b/>
        </w:rPr>
        <w:t>Se concentrer sur les produits critiques</w:t>
      </w:r>
    </w:p>
    <w:p w14:paraId="4A0DDDBE" w14:textId="01CDEEDF" w:rsidR="002775F8" w:rsidRDefault="00BD3A65" w:rsidP="005E6039">
      <w:pPr>
        <w:spacing w:after="0" w:line="240" w:lineRule="auto"/>
        <w:jc w:val="both"/>
        <w:rPr>
          <w:rFonts w:ascii="Arial" w:hAnsi="Arial" w:cs="Arial"/>
        </w:rPr>
      </w:pPr>
      <w:r>
        <w:rPr>
          <w:rFonts w:ascii="Arial" w:hAnsi="Arial"/>
        </w:rPr>
        <w:t xml:space="preserve">Afin de garantir l'approvisionnement et permettre un fonctionnement sans faille, le département des achats doit disposer de stratégies d'approvisionnement très flexibles et rapidement adaptables. Les acheteurs doivent donc se concentrer sur les actifs critiques à cette fin : matières premières, produits semi-finis, outils spéciaux. L'élaboration des concepts correspondants et le suivi constant des marchés exigent toutefois beaucoup de temps. Il est donc important de décharger les collaborateurs des tâches routinières chronophages et d'automatiser largement l'approvisionnement en articles de type C. Problème : les entreprises de taille moyenne ont souvent jusqu'à 2 000 fournisseurs référencés, ce qui est trop pour mettre en place un projet de digitalisation et d'automatisation. Dans un premier temps, il convient donc de consolider les relations avec les fournisseurs sur un maximum de quarante partenaires système. Lors de la sélection des fournisseurs, l'assortiment, les performances de livraison et le service doivent être examinés à la loupe. </w:t>
      </w:r>
    </w:p>
    <w:p w14:paraId="33BBD8C7" w14:textId="77777777" w:rsidR="002775F8" w:rsidRDefault="002775F8" w:rsidP="00B22939">
      <w:pPr>
        <w:spacing w:after="0" w:line="240" w:lineRule="auto"/>
        <w:rPr>
          <w:rFonts w:ascii="Arial" w:hAnsi="Arial" w:cs="Arial"/>
        </w:rPr>
      </w:pPr>
    </w:p>
    <w:p w14:paraId="5E264D71" w14:textId="6EFDD2EA" w:rsidR="002775F8" w:rsidRDefault="002775F8" w:rsidP="005E6039">
      <w:pPr>
        <w:spacing w:after="0" w:line="240" w:lineRule="auto"/>
        <w:jc w:val="both"/>
        <w:rPr>
          <w:rFonts w:ascii="Arial" w:hAnsi="Arial" w:cs="Arial"/>
        </w:rPr>
      </w:pPr>
      <w:r>
        <w:rPr>
          <w:rFonts w:ascii="Arial" w:hAnsi="Arial"/>
          <w:b/>
        </w:rPr>
        <w:t>Moins de fournisseurs, plus de digitalisation</w:t>
      </w:r>
    </w:p>
    <w:p w14:paraId="03546B08" w14:textId="11453461" w:rsidR="008C7490" w:rsidRPr="00B22939" w:rsidRDefault="002775F8" w:rsidP="005E6039">
      <w:pPr>
        <w:spacing w:after="0" w:line="240" w:lineRule="auto"/>
        <w:jc w:val="both"/>
        <w:rPr>
          <w:rFonts w:ascii="Arial" w:hAnsi="Arial" w:cs="Arial"/>
        </w:rPr>
      </w:pPr>
      <w:r>
        <w:rPr>
          <w:rFonts w:ascii="Arial" w:hAnsi="Arial"/>
        </w:rPr>
        <w:t xml:space="preserve">Les fournisseurs clés qui participent à l'automatisation de l'approvisionnement en articles de type C doivent en outre déjà mettre à disposition des offres de digitalisation et des données. Cela simplifie la mise en œuvre du projet. Pour une collaboration à long terme, il est par ailleurs nécessaire d'étudier attentivement les capacités de livraison. Cela inclut les concepts et mesures qu'ils ont élaborés pour garantir leur capacité de livraison à long terme. Face aux récentes turbulences sur les plates-formes d'approvisionnement, Hoffmann Group a, par exemple, augmenté ses stocks. Une part importante de son assortiment provient désormais de l'UE, ce qui facilite le réapprovisionnement. En outre, les capacités logistiques ont été triplées avec la construction de la </w:t>
      </w:r>
      <w:proofErr w:type="spellStart"/>
      <w:r>
        <w:rPr>
          <w:rFonts w:ascii="Arial" w:hAnsi="Arial"/>
        </w:rPr>
        <w:t>LogisticCity</w:t>
      </w:r>
      <w:proofErr w:type="spellEnd"/>
      <w:r>
        <w:rPr>
          <w:rFonts w:ascii="Arial" w:hAnsi="Arial"/>
        </w:rPr>
        <w:t xml:space="preserve"> à Nuremberg, et un centre de service proposant le reconditionnement d'outils et l'étalonnage d'instruments de mesure a été installé sur le site. La concentration sur un petit nombre de fournisseurs permet au département des achats de négocier de meilleures conditions à l'étape suivante grâce à l'augmentation du volume de commande et d'obtenir plus souvent des remises. Cela permet de réduire davantage les coûts d'approvisionnement. </w:t>
      </w:r>
    </w:p>
    <w:p w14:paraId="3E79B0C0" w14:textId="28265A4F" w:rsidR="00476001" w:rsidRPr="00B22939" w:rsidRDefault="00476001" w:rsidP="00B22939">
      <w:pPr>
        <w:spacing w:after="0" w:line="240" w:lineRule="auto"/>
        <w:rPr>
          <w:rFonts w:ascii="Arial" w:hAnsi="Arial" w:cs="Arial"/>
        </w:rPr>
      </w:pPr>
    </w:p>
    <w:p w14:paraId="4DED10FB" w14:textId="2DF22BE5" w:rsidR="00EF0256" w:rsidRDefault="00EF0256">
      <w:pPr>
        <w:rPr>
          <w:rFonts w:ascii="Arial" w:hAnsi="Arial" w:cs="Arial"/>
          <w:b/>
          <w:bCs/>
        </w:rPr>
      </w:pPr>
    </w:p>
    <w:p w14:paraId="37D937B5" w14:textId="26F736BF" w:rsidR="00BF5A4B" w:rsidRPr="00B22939" w:rsidRDefault="009C69EC" w:rsidP="005E6039">
      <w:pPr>
        <w:spacing w:after="0" w:line="240" w:lineRule="auto"/>
        <w:jc w:val="both"/>
        <w:rPr>
          <w:rFonts w:ascii="Arial" w:hAnsi="Arial" w:cs="Arial"/>
          <w:b/>
          <w:bCs/>
        </w:rPr>
      </w:pPr>
      <w:r>
        <w:rPr>
          <w:rFonts w:ascii="Arial" w:hAnsi="Arial"/>
          <w:b/>
        </w:rPr>
        <w:t xml:space="preserve">Bien approvisionné avec des systèmes de distribution </w:t>
      </w:r>
    </w:p>
    <w:p w14:paraId="528B07FA" w14:textId="2C55E5C1" w:rsidR="00E13E84" w:rsidRPr="00B22939" w:rsidRDefault="00CC6263" w:rsidP="005E6039">
      <w:pPr>
        <w:spacing w:after="0" w:line="240" w:lineRule="auto"/>
        <w:jc w:val="both"/>
        <w:rPr>
          <w:rFonts w:ascii="Arial" w:hAnsi="Arial" w:cs="Arial"/>
        </w:rPr>
      </w:pPr>
      <w:r>
        <w:rPr>
          <w:rFonts w:ascii="Arial" w:hAnsi="Arial"/>
        </w:rPr>
        <w:t>Les systèmes de distribution automatique</w:t>
      </w:r>
      <w:r w:rsidR="005E6039">
        <w:rPr>
          <w:rFonts w:ascii="Arial" w:hAnsi="Arial"/>
        </w:rPr>
        <w:t>s</w:t>
      </w:r>
      <w:r>
        <w:rPr>
          <w:rFonts w:ascii="Arial" w:hAnsi="Arial"/>
        </w:rPr>
        <w:t xml:space="preserve"> pour les articles de type C gérés en stock tels que GARANT Tool24 jouent un rôle essentiel dans l'automatisation de l'approvisionnement en articles de type C. Ils sont en mesure de gérer entièrement aussi bien le processus de commande que la distribution des articles aux collaborateurs. Le potentiel d'économies est énorme. C'est notamment le cas lorsqu'une seule commande générale est passée et que le stock théorique/réel est saisi lors du remplissage de l'armoire. Autre avantage : si des commandes de réapprovisionnement sont effectuées via les distributeurs automatiques et que le processus est digitalisé jusqu'à la facturation, les remises seront également automatisées. Si l'on considère maintenant que, dans la fabrication, un prélèvement d'articles avec tous les processus consécutifs coûte entre 20 et 25 euros en tenant compte de tous les coûts, l'achat est rapidement rentabilisé. </w:t>
      </w:r>
    </w:p>
    <w:p w14:paraId="3509F863" w14:textId="04674D62" w:rsidR="0098640B" w:rsidRPr="00B22939" w:rsidRDefault="0098640B" w:rsidP="00B22939">
      <w:pPr>
        <w:spacing w:after="0" w:line="240" w:lineRule="auto"/>
        <w:rPr>
          <w:rFonts w:ascii="Arial" w:hAnsi="Arial" w:cs="Arial"/>
        </w:rPr>
      </w:pPr>
    </w:p>
    <w:p w14:paraId="0A104DD8" w14:textId="791C731F" w:rsidR="00501353" w:rsidRPr="00A65B2A" w:rsidRDefault="00501353" w:rsidP="005E6039">
      <w:pPr>
        <w:spacing w:after="0" w:line="240" w:lineRule="auto"/>
        <w:jc w:val="both"/>
        <w:rPr>
          <w:rFonts w:ascii="Arial" w:hAnsi="Arial" w:cs="Arial"/>
          <w:b/>
          <w:bCs/>
        </w:rPr>
      </w:pPr>
      <w:r>
        <w:rPr>
          <w:rFonts w:ascii="Arial" w:hAnsi="Arial"/>
          <w:b/>
        </w:rPr>
        <w:t>Consolider les stocks et la diversité des articles, réduire l'immobilisation du capital</w:t>
      </w:r>
    </w:p>
    <w:p w14:paraId="70C2960C" w14:textId="7587F91A" w:rsidR="00353CA0" w:rsidRPr="00B22939" w:rsidRDefault="00353CA0" w:rsidP="005E6039">
      <w:pPr>
        <w:spacing w:after="0" w:line="240" w:lineRule="auto"/>
        <w:jc w:val="both"/>
        <w:rPr>
          <w:rFonts w:ascii="Arial" w:hAnsi="Arial" w:cs="Arial"/>
        </w:rPr>
      </w:pPr>
      <w:r>
        <w:rPr>
          <w:rFonts w:ascii="Arial" w:hAnsi="Arial"/>
        </w:rPr>
        <w:t>Grâce aux distributeurs automatiques, les outils sont disponibles 24 h/24. Si un niveau de réapprovisionnement est atteint, le système envoie un message au département des achats ou passe directement une nouvelle commande. Par conséquent, il est possible de réduire à la fois le stock d'en-cours et les surfaces de stockage, car il suffit généralement de prévoir deux à trois semaines de stock. Etant donné que les équipements sélectionnés sont disponibles à tout moment et que les collaborateurs doivent s'authentifier dans le système lorsqu'ils ont besoin d'articles, ils ne prélèvent que ce dont ils ont besoin sur le moment sans faire de réserves. Les collaborateurs sont en outre sensibilisés aux coûts, car le prix catalogue de chaque produit est affiché. Cela permet de réduire le volume des stocks d'articles de type C et l'immobilisation du capital qui l'accompagne. Les prélèvements sont toujours comptabilisés correctement et les erreurs de stocks appartiennent au passé.</w:t>
      </w:r>
    </w:p>
    <w:p w14:paraId="0A32BB15" w14:textId="77777777" w:rsidR="00353CA0" w:rsidRPr="00B22939" w:rsidRDefault="00353CA0" w:rsidP="00B22939">
      <w:pPr>
        <w:spacing w:after="0" w:line="240" w:lineRule="auto"/>
        <w:rPr>
          <w:rFonts w:ascii="Arial" w:hAnsi="Arial" w:cs="Arial"/>
        </w:rPr>
      </w:pPr>
    </w:p>
    <w:p w14:paraId="3D7DDD14" w14:textId="5C28ED6F" w:rsidR="00AF6A84" w:rsidRPr="004B2514" w:rsidRDefault="00AF6A84" w:rsidP="00356099">
      <w:pPr>
        <w:spacing w:after="0" w:line="240" w:lineRule="auto"/>
        <w:jc w:val="both"/>
        <w:rPr>
          <w:rFonts w:ascii="Arial" w:hAnsi="Arial" w:cs="Arial"/>
          <w:sz w:val="20"/>
          <w:szCs w:val="20"/>
        </w:rPr>
      </w:pPr>
      <w:r>
        <w:rPr>
          <w:rFonts w:ascii="Arial" w:hAnsi="Arial"/>
        </w:rPr>
        <w:t>Pour qu'il y ait suffisamment de place dans l'armoire de distribution, il convient d'envisager une consolidation des produits présentés. Pour les gants de protection, par exemple, dix modèles de la série GARANT Master et deux modèles sans silicone conformes aux normes LABS couvrent tous les risques dans le secteur mécanique. Les acheteurs qui se concentrent sur ces douze modèles doivent en avoir moins de stock et les collaborateurs disposent toujours de gants haut de gamme de haute qualité. Cela est généralement bien perçu.</w:t>
      </w:r>
    </w:p>
    <w:p w14:paraId="6C5C5F65" w14:textId="58B61605" w:rsidR="007B5BEF" w:rsidRPr="00B22939" w:rsidRDefault="007B5BEF" w:rsidP="00B22939">
      <w:pPr>
        <w:spacing w:after="0" w:line="240" w:lineRule="auto"/>
        <w:rPr>
          <w:rFonts w:ascii="Arial" w:hAnsi="Arial" w:cs="Arial"/>
        </w:rPr>
      </w:pPr>
    </w:p>
    <w:p w14:paraId="361EAEB8" w14:textId="3D411581" w:rsidR="003B1B97" w:rsidRPr="00B22939" w:rsidRDefault="007B5BEF" w:rsidP="00356099">
      <w:pPr>
        <w:spacing w:after="0" w:line="240" w:lineRule="auto"/>
        <w:jc w:val="both"/>
        <w:rPr>
          <w:rFonts w:ascii="Arial" w:hAnsi="Arial" w:cs="Arial"/>
        </w:rPr>
      </w:pPr>
      <w:r>
        <w:rPr>
          <w:rFonts w:ascii="Arial" w:hAnsi="Arial"/>
          <w:b/>
        </w:rPr>
        <w:t>ROI en quelques semaines ou mois</w:t>
      </w:r>
    </w:p>
    <w:p w14:paraId="240F91F6" w14:textId="32C8270E" w:rsidR="006512A7" w:rsidRDefault="00133039" w:rsidP="00356099">
      <w:pPr>
        <w:spacing w:after="0" w:line="240" w:lineRule="auto"/>
        <w:jc w:val="both"/>
        <w:rPr>
          <w:rFonts w:ascii="Arial" w:hAnsi="Arial"/>
        </w:rPr>
      </w:pPr>
      <w:r>
        <w:rPr>
          <w:rFonts w:ascii="Arial" w:hAnsi="Arial"/>
        </w:rPr>
        <w:t xml:space="preserve">La mise en œuvre d'une solution d'approvisionnement avec système de distribution doit toutefois être bien planifiée. Les conseillers Hoffmann Group prennent non seulement le temps de discuter des questions relatives à la configuration, au garnissage et au lieu d'installation, mais ils clarifient également les points importants en personne sur site. C'est aussi l'occasion de discuter si, outre les outils, des appareils de location, des instruments de mesure et de contrôle voire des </w:t>
      </w:r>
      <w:r w:rsidR="00356099">
        <w:rPr>
          <w:rFonts w:ascii="Arial" w:hAnsi="Arial"/>
        </w:rPr>
        <w:t>serrures à clés ou à codes</w:t>
      </w:r>
      <w:r>
        <w:rPr>
          <w:rFonts w:ascii="Arial" w:hAnsi="Arial"/>
        </w:rPr>
        <w:t xml:space="preserve"> doivent être gérés par le système. Une fois le concept établi, de nombreux clients peuvent déjà mettre le système en service deux semaines plus tard. Si une intégration ERP est également souhaitée, le projet peut durer plusieurs mois. En fonction des processus internes de l'entreprise, la solution est généralement amortie en quelques mois. Pour 1 000 prélèvements par jour avec un coût de 25 euros par prélèvement, le retour sur investissement (ROI) est atteint en quelques mois, même pour les très grandes installations. </w:t>
      </w:r>
    </w:p>
    <w:p w14:paraId="438F2172" w14:textId="22237D04" w:rsidR="007F07CF" w:rsidRDefault="007F07CF" w:rsidP="00356099">
      <w:pPr>
        <w:spacing w:after="0" w:line="240" w:lineRule="auto"/>
        <w:jc w:val="both"/>
        <w:rPr>
          <w:rFonts w:ascii="Arial" w:hAnsi="Arial"/>
        </w:rPr>
      </w:pPr>
    </w:p>
    <w:p w14:paraId="467FCE5B" w14:textId="44B4F62E" w:rsidR="007F07CF" w:rsidRDefault="007F07CF" w:rsidP="00356099">
      <w:pPr>
        <w:spacing w:after="0" w:line="240" w:lineRule="auto"/>
        <w:jc w:val="both"/>
        <w:rPr>
          <w:rFonts w:ascii="Arial" w:hAnsi="Arial"/>
        </w:rPr>
      </w:pPr>
    </w:p>
    <w:p w14:paraId="6D5511E8" w14:textId="701A1E2A" w:rsidR="007F07CF" w:rsidRDefault="007F07CF" w:rsidP="00356099">
      <w:pPr>
        <w:spacing w:after="0" w:line="240" w:lineRule="auto"/>
        <w:jc w:val="both"/>
        <w:rPr>
          <w:rFonts w:ascii="Arial" w:hAnsi="Arial"/>
        </w:rPr>
      </w:pPr>
    </w:p>
    <w:p w14:paraId="350415E3" w14:textId="77777777" w:rsidR="007F07CF" w:rsidRDefault="007F07CF" w:rsidP="00356099">
      <w:pPr>
        <w:spacing w:after="0" w:line="240" w:lineRule="auto"/>
        <w:jc w:val="both"/>
        <w:rPr>
          <w:rFonts w:ascii="Arial" w:hAnsi="Arial" w:cs="Arial"/>
        </w:rPr>
      </w:pPr>
    </w:p>
    <w:p w14:paraId="31D12100" w14:textId="2A7CD36B" w:rsidR="002F55C0" w:rsidRDefault="002F55C0" w:rsidP="00B22939">
      <w:pPr>
        <w:spacing w:after="0" w:line="240" w:lineRule="auto"/>
        <w:rPr>
          <w:rFonts w:ascii="Arial" w:hAnsi="Arial" w:cs="Arial"/>
        </w:rPr>
      </w:pPr>
    </w:p>
    <w:p w14:paraId="03B1A7FC" w14:textId="7E385A1A" w:rsidR="002F55C0" w:rsidRPr="00183FF2" w:rsidRDefault="009A0D3A" w:rsidP="00356099">
      <w:pPr>
        <w:spacing w:after="0" w:line="240" w:lineRule="auto"/>
        <w:jc w:val="both"/>
        <w:rPr>
          <w:rFonts w:ascii="Arial" w:hAnsi="Arial" w:cs="Arial"/>
        </w:rPr>
      </w:pPr>
      <w:r>
        <w:rPr>
          <w:rFonts w:ascii="Arial" w:hAnsi="Arial"/>
        </w:rPr>
        <w:lastRenderedPageBreak/>
        <w:t xml:space="preserve">Afin de pouvoir couvrir rapidement et facilement les besoins urgents et spéciaux en plus du matériel en stock, il est judicieux d'installer, outre l'armoire de distribution, une connexion à une plate-forme d'approvisionnement numérique telle que simple system ou l'eShop de Hoffmann Group. Cette dernière propose également des catalogues électroniques spécifiques au client qui permettent de passer commande facilement aux conditions convenues. </w:t>
      </w:r>
    </w:p>
    <w:p w14:paraId="51860E8A" w14:textId="77777777" w:rsidR="002F55C0" w:rsidRPr="00183FF2" w:rsidRDefault="002F55C0" w:rsidP="00B22939">
      <w:pPr>
        <w:spacing w:after="0" w:line="240" w:lineRule="auto"/>
        <w:rPr>
          <w:rFonts w:ascii="Arial" w:hAnsi="Arial" w:cs="Arial"/>
        </w:rPr>
      </w:pPr>
    </w:p>
    <w:p w14:paraId="38C962CD" w14:textId="77777777" w:rsidR="00B22939" w:rsidRDefault="00B22939" w:rsidP="00B22939">
      <w:pPr>
        <w:spacing w:after="0" w:line="240" w:lineRule="auto"/>
        <w:rPr>
          <w:rFonts w:ascii="Arial" w:hAnsi="Arial" w:cs="Arial"/>
          <w:b/>
          <w:bCs/>
        </w:rPr>
      </w:pPr>
    </w:p>
    <w:p w14:paraId="70E833D5" w14:textId="5C801598" w:rsidR="00281AB8" w:rsidRPr="00B22939" w:rsidRDefault="00A840A5" w:rsidP="00356099">
      <w:pPr>
        <w:spacing w:after="0" w:line="240" w:lineRule="auto"/>
        <w:jc w:val="both"/>
        <w:rPr>
          <w:rFonts w:ascii="Arial" w:hAnsi="Arial" w:cs="Arial"/>
          <w:b/>
          <w:bCs/>
        </w:rPr>
      </w:pPr>
      <w:r>
        <w:rPr>
          <w:rFonts w:ascii="Arial" w:hAnsi="Arial"/>
          <w:b/>
        </w:rPr>
        <w:t>Vers une économie circulaire des outils</w:t>
      </w:r>
    </w:p>
    <w:p w14:paraId="2D82F440" w14:textId="6E092C1E" w:rsidR="0038107B" w:rsidRPr="00B22939" w:rsidRDefault="00E76AA3" w:rsidP="00356099">
      <w:pPr>
        <w:spacing w:after="0" w:line="240" w:lineRule="auto"/>
        <w:jc w:val="both"/>
        <w:rPr>
          <w:rFonts w:ascii="Arial" w:hAnsi="Arial" w:cs="Arial"/>
        </w:rPr>
      </w:pPr>
      <w:r>
        <w:rPr>
          <w:rFonts w:ascii="Arial" w:hAnsi="Arial"/>
        </w:rPr>
        <w:t xml:space="preserve">Il est également possible de bénéficier d'un potentiel d'économies supplémentaire et d'un plus en matière de durabilité en exploitant pleinement la durée maximale d'utilisation des outils. Ce sont surtout les outils plus coûteux qui offrent un potentiel économique. Un foret en carbure monobloc peut, par exemple, être réaffûté jusqu'à quatre fois. Si l'outil est préparé avec l'affûtage et le revêtement d'origine, la différence de performance par rapport à un outil neuf est à peine perceptible. Les coûts s'élèvent à environ 30 euros par article et ne doivent pas dépasser 50 % du prix du neuf. Si le cycle de vie d'un outil est prolongé de cette manière, il est possible de réduire considérablement la consommation de carbure dans la fabrication et d'apporter une précieuse contribution à la préservation des ressources naturelles. Il est ensuite possible de recycler l'outil et de retransformer le carbure en carbure brut. </w:t>
      </w:r>
    </w:p>
    <w:p w14:paraId="1A049004" w14:textId="107142E9" w:rsidR="000B3C2E" w:rsidRDefault="000B3C2E" w:rsidP="00B22939">
      <w:pPr>
        <w:spacing w:after="0" w:line="240" w:lineRule="auto"/>
        <w:rPr>
          <w:rFonts w:ascii="Arial" w:hAnsi="Arial" w:cs="Arial"/>
        </w:rPr>
      </w:pPr>
    </w:p>
    <w:p w14:paraId="34EEFD31" w14:textId="488BFE35" w:rsidR="002768E2" w:rsidRPr="00B22939" w:rsidRDefault="006F297B" w:rsidP="00356099">
      <w:pPr>
        <w:spacing w:after="0" w:line="240" w:lineRule="auto"/>
        <w:jc w:val="both"/>
        <w:rPr>
          <w:rFonts w:ascii="Arial" w:hAnsi="Arial" w:cs="Arial"/>
        </w:rPr>
      </w:pPr>
      <w:r>
        <w:rPr>
          <w:rFonts w:ascii="Arial" w:hAnsi="Arial"/>
        </w:rPr>
        <w:t xml:space="preserve">Avec ses systèmes de distribution automatiques, Hoffmann Group soutient également la distribution d'outils affûtés à ses collaborateurs. Si ceux-ci ont le choix, ils opteront généralement pour des outils neufs. Grâce aux systèmes de distribution, les responsables de la production peuvent toutefois décider d'attribuer des outils usagés ou réaffûtés dans certains cas. L'expérience montre que la consommation d'outils diminue durablement jusqu'à 25 % chez les clients disposant d'un système de distribution. </w:t>
      </w:r>
    </w:p>
    <w:p w14:paraId="481FA257" w14:textId="77777777" w:rsidR="003E2F57" w:rsidRPr="00B22939" w:rsidRDefault="003E2F57" w:rsidP="00B22939">
      <w:pPr>
        <w:spacing w:after="0" w:line="240" w:lineRule="auto"/>
        <w:rPr>
          <w:rFonts w:ascii="Arial" w:hAnsi="Arial" w:cs="Arial"/>
          <w:b/>
          <w:bCs/>
        </w:rPr>
      </w:pPr>
    </w:p>
    <w:p w14:paraId="3C130923" w14:textId="77777777" w:rsidR="00D80769" w:rsidRPr="00B22939" w:rsidRDefault="00D80769" w:rsidP="00356099">
      <w:pPr>
        <w:spacing w:after="0" w:line="240" w:lineRule="auto"/>
        <w:jc w:val="both"/>
        <w:rPr>
          <w:rFonts w:ascii="Arial" w:hAnsi="Arial" w:cs="Arial"/>
          <w:i/>
          <w:iCs/>
        </w:rPr>
      </w:pPr>
      <w:r>
        <w:rPr>
          <w:rFonts w:ascii="Arial" w:hAnsi="Arial"/>
          <w:b/>
          <w:u w:val="single"/>
        </w:rPr>
        <w:t xml:space="preserve">Auteur : </w:t>
      </w:r>
      <w:r>
        <w:rPr>
          <w:rFonts w:ascii="Arial" w:hAnsi="Arial"/>
          <w:b/>
        </w:rPr>
        <w:t>Markus Decker, conseiller en digitalisation, achat et gestion du matériel chez Hoffmann Group</w:t>
      </w:r>
      <w:r>
        <w:rPr>
          <w:rFonts w:ascii="Arial" w:hAnsi="Arial"/>
        </w:rPr>
        <w:br/>
      </w:r>
      <w:r>
        <w:rPr>
          <w:rFonts w:ascii="Arial" w:hAnsi="Arial"/>
        </w:rPr>
        <w:br/>
      </w:r>
      <w:r>
        <w:rPr>
          <w:rFonts w:ascii="Arial" w:hAnsi="Arial"/>
          <w:b/>
          <w:u w:val="single"/>
        </w:rPr>
        <w:t>A propos de l'auteur</w:t>
      </w:r>
    </w:p>
    <w:p w14:paraId="4152656C" w14:textId="77777777" w:rsidR="00D80769" w:rsidRPr="00B22939" w:rsidRDefault="00D80769" w:rsidP="00356099">
      <w:pPr>
        <w:spacing w:after="0" w:line="240" w:lineRule="auto"/>
        <w:jc w:val="both"/>
        <w:rPr>
          <w:rFonts w:ascii="Arial" w:hAnsi="Arial" w:cs="Arial"/>
        </w:rPr>
      </w:pPr>
      <w:r>
        <w:rPr>
          <w:rFonts w:ascii="Arial" w:hAnsi="Arial"/>
        </w:rPr>
        <w:t xml:space="preserve">Markus Decker travaille chez Hoffmann Group depuis 1997. Il conseille les clients depuis 2000 en matière de digitalisation des achats, ainsi que de gestion et d'approvisionnement en matériel. Outre des projets relatifs à la connexion des fournisseurs par échange de données informatisé (EDI), son programme de conseil comprend l'automatisation de l'ensemble du processus d'approvisionnement, du suivi automatisé des stocks au renouvellement de commande à la facturation électronique en passant par l'intégration avec les systèmes ERP et les places de marché. </w:t>
      </w:r>
    </w:p>
    <w:p w14:paraId="42DAB3EF" w14:textId="1AB154F6" w:rsidR="00647D7F" w:rsidRDefault="00647D7F" w:rsidP="00B22939">
      <w:pPr>
        <w:spacing w:after="0" w:line="240" w:lineRule="auto"/>
        <w:rPr>
          <w:rFonts w:ascii="Arial" w:hAnsi="Arial" w:cs="Arial"/>
          <w:b/>
          <w:bCs/>
        </w:rPr>
      </w:pPr>
    </w:p>
    <w:tbl>
      <w:tblPr>
        <w:tblStyle w:val="Grilledutableau"/>
        <w:tblW w:w="0" w:type="auto"/>
        <w:tblLook w:val="04A0" w:firstRow="1" w:lastRow="0" w:firstColumn="1" w:lastColumn="0" w:noHBand="0" w:noVBand="1"/>
      </w:tblPr>
      <w:tblGrid>
        <w:gridCol w:w="5524"/>
        <w:gridCol w:w="3114"/>
      </w:tblGrid>
      <w:tr w:rsidR="00EF0256" w:rsidRPr="00BC3AAC" w14:paraId="70CD58A5" w14:textId="77777777" w:rsidTr="000841C9">
        <w:tc>
          <w:tcPr>
            <w:tcW w:w="5524" w:type="dxa"/>
          </w:tcPr>
          <w:p w14:paraId="12D3964B" w14:textId="77777777" w:rsidR="00EF0256" w:rsidRPr="00BC3AAC" w:rsidRDefault="00EF0256" w:rsidP="000841C9">
            <w:pPr>
              <w:rPr>
                <w:noProof/>
                <w:sz w:val="20"/>
                <w:szCs w:val="20"/>
              </w:rPr>
            </w:pPr>
            <w:r>
              <w:br w:type="page"/>
            </w:r>
          </w:p>
          <w:p w14:paraId="5A397B02" w14:textId="77777777" w:rsidR="00EF0256" w:rsidRDefault="00EF0256" w:rsidP="000841C9">
            <w:pPr>
              <w:rPr>
                <w:sz w:val="20"/>
                <w:szCs w:val="20"/>
              </w:rPr>
            </w:pPr>
            <w:r>
              <w:rPr>
                <w:noProof/>
                <w:sz w:val="20"/>
              </w:rPr>
              <w:drawing>
                <wp:inline distT="0" distB="0" distL="0" distR="0" wp14:anchorId="40F04918" wp14:editId="5D3104E5">
                  <wp:extent cx="1008185" cy="1204931"/>
                  <wp:effectExtent l="0" t="0" r="190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29" t="1" r="45994" b="5952"/>
                          <a:stretch/>
                        </pic:blipFill>
                        <pic:spPr bwMode="auto">
                          <a:xfrm>
                            <a:off x="0" y="0"/>
                            <a:ext cx="1012298" cy="1209847"/>
                          </a:xfrm>
                          <a:prstGeom prst="rect">
                            <a:avLst/>
                          </a:prstGeom>
                          <a:ln>
                            <a:noFill/>
                          </a:ln>
                          <a:extLst>
                            <a:ext uri="{53640926-AAD7-44D8-BBD7-CCE9431645EC}">
                              <a14:shadowObscured xmlns:a14="http://schemas.microsoft.com/office/drawing/2010/main"/>
                            </a:ext>
                          </a:extLst>
                        </pic:spPr>
                      </pic:pic>
                    </a:graphicData>
                  </a:graphic>
                </wp:inline>
              </w:drawing>
            </w:r>
            <w:r>
              <w:rPr>
                <w:sz w:val="20"/>
              </w:rPr>
              <w:t xml:space="preserve">        </w:t>
            </w:r>
            <w:r>
              <w:rPr>
                <w:noProof/>
              </w:rPr>
              <w:drawing>
                <wp:inline distT="0" distB="0" distL="0" distR="0" wp14:anchorId="3C95A39A" wp14:editId="53B21FB0">
                  <wp:extent cx="1639139" cy="1206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008" t="9991" r="16518" b="17089"/>
                          <a:stretch/>
                        </pic:blipFill>
                        <pic:spPr bwMode="auto">
                          <a:xfrm>
                            <a:off x="0" y="0"/>
                            <a:ext cx="1639139" cy="1206000"/>
                          </a:xfrm>
                          <a:prstGeom prst="rect">
                            <a:avLst/>
                          </a:prstGeom>
                          <a:ln>
                            <a:noFill/>
                          </a:ln>
                          <a:extLst>
                            <a:ext uri="{53640926-AAD7-44D8-BBD7-CCE9431645EC}">
                              <a14:shadowObscured xmlns:a14="http://schemas.microsoft.com/office/drawing/2010/main"/>
                            </a:ext>
                          </a:extLst>
                        </pic:spPr>
                      </pic:pic>
                    </a:graphicData>
                  </a:graphic>
                </wp:inline>
              </w:drawing>
            </w:r>
          </w:p>
          <w:p w14:paraId="6A30EBAB" w14:textId="77777777" w:rsidR="00EF0256" w:rsidRPr="00BC3AAC" w:rsidRDefault="00EF0256" w:rsidP="000841C9">
            <w:pPr>
              <w:rPr>
                <w:sz w:val="20"/>
                <w:szCs w:val="20"/>
              </w:rPr>
            </w:pPr>
            <w:r>
              <w:rPr>
                <w:sz w:val="20"/>
              </w:rPr>
              <w:t>Markus Decker, conseiller en digitalisation Achats / gestion/approvisionnement en matériel chez Hoffmann </w:t>
            </w:r>
            <w:proofErr w:type="spellStart"/>
            <w:r>
              <w:rPr>
                <w:sz w:val="20"/>
              </w:rPr>
              <w:t>GmbH</w:t>
            </w:r>
            <w:proofErr w:type="spellEnd"/>
            <w:r>
              <w:rPr>
                <w:sz w:val="20"/>
              </w:rPr>
              <w:t xml:space="preserve"> </w:t>
            </w:r>
            <w:proofErr w:type="spellStart"/>
            <w:r>
              <w:rPr>
                <w:sz w:val="20"/>
              </w:rPr>
              <w:t>Qualitätswerkzeuge</w:t>
            </w:r>
            <w:proofErr w:type="spellEnd"/>
            <w:r>
              <w:rPr>
                <w:sz w:val="20"/>
              </w:rPr>
              <w:t xml:space="preserve"> / Hoffmann Group     </w:t>
            </w:r>
          </w:p>
          <w:p w14:paraId="71CDE732" w14:textId="77777777" w:rsidR="00EF0256" w:rsidRPr="00BC3AAC" w:rsidRDefault="00EF0256" w:rsidP="000841C9">
            <w:pPr>
              <w:ind w:right="-142"/>
              <w:rPr>
                <w:sz w:val="20"/>
                <w:szCs w:val="20"/>
              </w:rPr>
            </w:pPr>
          </w:p>
        </w:tc>
        <w:tc>
          <w:tcPr>
            <w:tcW w:w="3114" w:type="dxa"/>
          </w:tcPr>
          <w:p w14:paraId="032B4E79" w14:textId="77777777" w:rsidR="00EF0256" w:rsidRPr="00BC3AAC" w:rsidRDefault="00EF0256" w:rsidP="000841C9">
            <w:pPr>
              <w:rPr>
                <w:noProof/>
                <w:sz w:val="20"/>
                <w:szCs w:val="20"/>
              </w:rPr>
            </w:pPr>
          </w:p>
          <w:p w14:paraId="2F6E1B40" w14:textId="77777777" w:rsidR="00EF0256" w:rsidRDefault="00EF0256" w:rsidP="000841C9">
            <w:pPr>
              <w:rPr>
                <w:noProof/>
                <w:sz w:val="20"/>
                <w:szCs w:val="20"/>
              </w:rPr>
            </w:pPr>
          </w:p>
          <w:p w14:paraId="2E182EEF" w14:textId="77777777" w:rsidR="00EF0256" w:rsidRPr="00BC3AAC" w:rsidRDefault="00EF0256" w:rsidP="000841C9">
            <w:pPr>
              <w:rPr>
                <w:noProof/>
                <w:sz w:val="20"/>
                <w:szCs w:val="20"/>
              </w:rPr>
            </w:pPr>
            <w:r>
              <w:rPr>
                <w:sz w:val="20"/>
              </w:rPr>
              <w:t xml:space="preserve"> </w:t>
            </w:r>
          </w:p>
        </w:tc>
      </w:tr>
    </w:tbl>
    <w:p w14:paraId="10CE9945" w14:textId="77777777" w:rsidR="00EF0256" w:rsidRDefault="00EF0256" w:rsidP="00EF0256">
      <w:pPr>
        <w:spacing w:after="0" w:line="240" w:lineRule="auto"/>
        <w:rPr>
          <w:rFonts w:ascii="Arial" w:hAnsi="Arial" w:cs="Arial"/>
        </w:rPr>
      </w:pPr>
    </w:p>
    <w:p w14:paraId="60DAB21F" w14:textId="77777777" w:rsidR="00EF0256" w:rsidRDefault="00EF0256" w:rsidP="00EF0256">
      <w:pPr>
        <w:spacing w:after="0" w:line="240" w:lineRule="auto"/>
        <w:rPr>
          <w:rFonts w:ascii="Arial" w:hAnsi="Arial" w:cs="Arial"/>
        </w:rPr>
      </w:pPr>
    </w:p>
    <w:p w14:paraId="503E3D83" w14:textId="77777777" w:rsidR="00BD0B03" w:rsidRPr="004B2514" w:rsidRDefault="00BD0B03" w:rsidP="00B22939">
      <w:pPr>
        <w:spacing w:after="0" w:line="240" w:lineRule="auto"/>
        <w:rPr>
          <w:rFonts w:ascii="Arial" w:hAnsi="Arial" w:cs="Arial"/>
          <w:sz w:val="20"/>
          <w:szCs w:val="20"/>
        </w:rPr>
      </w:pPr>
      <w:r>
        <w:rPr>
          <w:rFonts w:ascii="Arial" w:hAnsi="Arial"/>
          <w:sz w:val="20"/>
        </w:rPr>
        <w:t xml:space="preserve">ENCADRÉ 1 : </w:t>
      </w:r>
    </w:p>
    <w:p w14:paraId="7ECAA89F" w14:textId="77777777" w:rsidR="00BD0B03" w:rsidRPr="004B2514" w:rsidRDefault="00BD0B03" w:rsidP="00B22939">
      <w:pPr>
        <w:spacing w:after="0" w:line="240" w:lineRule="auto"/>
        <w:rPr>
          <w:rFonts w:ascii="Arial" w:hAnsi="Arial" w:cs="Arial"/>
          <w:sz w:val="20"/>
          <w:szCs w:val="20"/>
        </w:rPr>
      </w:pPr>
    </w:p>
    <w:p w14:paraId="3FB3DA64" w14:textId="77777777" w:rsidR="00BD0B03" w:rsidRPr="004B2514" w:rsidRDefault="00BD0B03" w:rsidP="00B22939">
      <w:pPr>
        <w:spacing w:after="0" w:line="240" w:lineRule="auto"/>
        <w:rPr>
          <w:rFonts w:ascii="Arial" w:hAnsi="Arial" w:cs="Arial"/>
          <w:b/>
          <w:sz w:val="20"/>
          <w:szCs w:val="20"/>
        </w:rPr>
      </w:pPr>
      <w:r>
        <w:rPr>
          <w:rFonts w:ascii="Arial" w:hAnsi="Arial"/>
          <w:b/>
          <w:sz w:val="20"/>
        </w:rPr>
        <w:t>Critères de sélection pour les systèmes de distribution automatiques</w:t>
      </w:r>
    </w:p>
    <w:tbl>
      <w:tblPr>
        <w:tblStyle w:val="Grilledutableau"/>
        <w:tblW w:w="0" w:type="auto"/>
        <w:tblLook w:val="04A0" w:firstRow="1" w:lastRow="0" w:firstColumn="1" w:lastColumn="0" w:noHBand="0" w:noVBand="1"/>
      </w:tblPr>
      <w:tblGrid>
        <w:gridCol w:w="5665"/>
      </w:tblGrid>
      <w:tr w:rsidR="00BD0B03" w:rsidRPr="004B2514" w14:paraId="21209658" w14:textId="77777777" w:rsidTr="00C24DB3">
        <w:tc>
          <w:tcPr>
            <w:tcW w:w="5665" w:type="dxa"/>
          </w:tcPr>
          <w:p w14:paraId="71CE0744" w14:textId="77777777" w:rsidR="00BD0B03" w:rsidRPr="004B2514" w:rsidRDefault="00BD0B03" w:rsidP="00B22939">
            <w:pPr>
              <w:rPr>
                <w:rFonts w:ascii="Arial" w:hAnsi="Arial" w:cs="Arial"/>
                <w:sz w:val="20"/>
                <w:szCs w:val="20"/>
              </w:rPr>
            </w:pPr>
            <w:r>
              <w:rPr>
                <w:rFonts w:ascii="Arial" w:hAnsi="Arial"/>
                <w:sz w:val="20"/>
              </w:rPr>
              <w:t>Caractéristiques générales</w:t>
            </w:r>
          </w:p>
          <w:p w14:paraId="07F9ACD9" w14:textId="77777777" w:rsidR="00BD0B03" w:rsidRPr="004B2514" w:rsidRDefault="00BD0B03" w:rsidP="00B22939">
            <w:pPr>
              <w:pStyle w:val="Paragraphedeliste"/>
              <w:numPr>
                <w:ilvl w:val="0"/>
                <w:numId w:val="4"/>
              </w:numPr>
              <w:rPr>
                <w:rFonts w:ascii="Arial" w:hAnsi="Arial" w:cs="Arial"/>
                <w:sz w:val="20"/>
                <w:szCs w:val="20"/>
              </w:rPr>
            </w:pPr>
            <w:r>
              <w:rPr>
                <w:rFonts w:ascii="Arial" w:hAnsi="Arial"/>
                <w:sz w:val="20"/>
              </w:rPr>
              <w:t>Taille des casiers</w:t>
            </w:r>
          </w:p>
          <w:p w14:paraId="1068BF1A" w14:textId="77777777" w:rsidR="00BD0B03" w:rsidRPr="004B2514" w:rsidRDefault="00BD0B03" w:rsidP="00B22939">
            <w:pPr>
              <w:pStyle w:val="Paragraphedeliste"/>
              <w:numPr>
                <w:ilvl w:val="0"/>
                <w:numId w:val="3"/>
              </w:numPr>
              <w:rPr>
                <w:rFonts w:ascii="Arial" w:hAnsi="Arial" w:cs="Arial"/>
                <w:sz w:val="20"/>
                <w:szCs w:val="20"/>
              </w:rPr>
            </w:pPr>
            <w:r>
              <w:rPr>
                <w:rFonts w:ascii="Arial" w:hAnsi="Arial"/>
                <w:sz w:val="20"/>
              </w:rPr>
              <w:t>Charge maximale</w:t>
            </w:r>
          </w:p>
          <w:p w14:paraId="1D77F9C0" w14:textId="77777777" w:rsidR="00BD0B03" w:rsidRPr="004B2514" w:rsidRDefault="00BD0B03" w:rsidP="00B22939">
            <w:pPr>
              <w:pStyle w:val="Paragraphedeliste"/>
              <w:numPr>
                <w:ilvl w:val="0"/>
                <w:numId w:val="3"/>
              </w:numPr>
              <w:rPr>
                <w:rFonts w:ascii="Arial" w:hAnsi="Arial" w:cs="Arial"/>
                <w:sz w:val="20"/>
                <w:szCs w:val="20"/>
              </w:rPr>
            </w:pPr>
            <w:r>
              <w:rPr>
                <w:rFonts w:ascii="Arial" w:hAnsi="Arial"/>
                <w:sz w:val="20"/>
              </w:rPr>
              <w:t>Système de tambour solide</w:t>
            </w:r>
          </w:p>
          <w:p w14:paraId="1EB50229" w14:textId="77777777" w:rsidR="00BD0B03" w:rsidRPr="004B2514" w:rsidRDefault="00BD0B03" w:rsidP="00B22939">
            <w:pPr>
              <w:pStyle w:val="Paragraphedeliste"/>
              <w:numPr>
                <w:ilvl w:val="0"/>
                <w:numId w:val="3"/>
              </w:numPr>
              <w:rPr>
                <w:rFonts w:ascii="Arial" w:hAnsi="Arial" w:cs="Arial"/>
                <w:sz w:val="20"/>
                <w:szCs w:val="20"/>
              </w:rPr>
            </w:pPr>
            <w:r>
              <w:rPr>
                <w:rFonts w:ascii="Arial" w:hAnsi="Arial"/>
                <w:sz w:val="20"/>
              </w:rPr>
              <w:t>Évolutivité modulaire</w:t>
            </w:r>
          </w:p>
        </w:tc>
      </w:tr>
      <w:tr w:rsidR="00BD0B03" w:rsidRPr="004B2514" w14:paraId="694BE8C6" w14:textId="77777777" w:rsidTr="00C24DB3">
        <w:tc>
          <w:tcPr>
            <w:tcW w:w="5665" w:type="dxa"/>
          </w:tcPr>
          <w:p w14:paraId="7A347153" w14:textId="77777777" w:rsidR="00BD0B03" w:rsidRPr="004B2514" w:rsidRDefault="00BD0B03" w:rsidP="00B22939">
            <w:pPr>
              <w:rPr>
                <w:rFonts w:ascii="Arial" w:hAnsi="Arial" w:cs="Arial"/>
                <w:sz w:val="20"/>
                <w:szCs w:val="20"/>
              </w:rPr>
            </w:pPr>
            <w:r>
              <w:rPr>
                <w:rFonts w:ascii="Arial" w:hAnsi="Arial"/>
                <w:sz w:val="20"/>
              </w:rPr>
              <w:t xml:space="preserve">Ergonomie </w:t>
            </w:r>
          </w:p>
          <w:p w14:paraId="48EC88AB" w14:textId="77777777" w:rsidR="00BD0B03" w:rsidRPr="004B2514" w:rsidRDefault="00BD0B03" w:rsidP="00B22939">
            <w:pPr>
              <w:pStyle w:val="Paragraphedeliste"/>
              <w:numPr>
                <w:ilvl w:val="0"/>
                <w:numId w:val="2"/>
              </w:numPr>
              <w:rPr>
                <w:rFonts w:ascii="Arial" w:hAnsi="Arial" w:cs="Arial"/>
                <w:sz w:val="20"/>
                <w:szCs w:val="20"/>
              </w:rPr>
            </w:pPr>
            <w:r>
              <w:rPr>
                <w:rFonts w:ascii="Arial" w:hAnsi="Arial"/>
                <w:sz w:val="20"/>
              </w:rPr>
              <w:t>Regard</w:t>
            </w:r>
          </w:p>
          <w:p w14:paraId="3543EA5A" w14:textId="77777777" w:rsidR="00BD0B03" w:rsidRPr="004B2514" w:rsidRDefault="00BD0B03" w:rsidP="00B22939">
            <w:pPr>
              <w:pStyle w:val="Paragraphedeliste"/>
              <w:numPr>
                <w:ilvl w:val="0"/>
                <w:numId w:val="2"/>
              </w:numPr>
              <w:rPr>
                <w:rFonts w:ascii="Arial" w:hAnsi="Arial" w:cs="Arial"/>
                <w:sz w:val="20"/>
                <w:szCs w:val="20"/>
              </w:rPr>
            </w:pPr>
            <w:r>
              <w:rPr>
                <w:rFonts w:ascii="Arial" w:hAnsi="Arial"/>
                <w:sz w:val="20"/>
              </w:rPr>
              <w:t>Voyants lumineux</w:t>
            </w:r>
          </w:p>
          <w:p w14:paraId="09825D8F" w14:textId="77777777" w:rsidR="00BD0B03" w:rsidRPr="004B2514" w:rsidRDefault="00BD0B03" w:rsidP="00B22939">
            <w:pPr>
              <w:pStyle w:val="Paragraphedeliste"/>
              <w:numPr>
                <w:ilvl w:val="0"/>
                <w:numId w:val="2"/>
              </w:numPr>
              <w:rPr>
                <w:rFonts w:ascii="Arial" w:hAnsi="Arial" w:cs="Arial"/>
                <w:sz w:val="20"/>
                <w:szCs w:val="20"/>
              </w:rPr>
            </w:pPr>
            <w:r>
              <w:rPr>
                <w:rFonts w:ascii="Arial" w:hAnsi="Arial"/>
                <w:sz w:val="20"/>
              </w:rPr>
              <w:t xml:space="preserve">Ouverture automatique des portes </w:t>
            </w:r>
          </w:p>
        </w:tc>
      </w:tr>
      <w:tr w:rsidR="00BD0B03" w:rsidRPr="004B2514" w14:paraId="358DF97E" w14:textId="77777777" w:rsidTr="00C24DB3">
        <w:tc>
          <w:tcPr>
            <w:tcW w:w="5665" w:type="dxa"/>
          </w:tcPr>
          <w:p w14:paraId="202DEC1E" w14:textId="77777777" w:rsidR="00BD0B03" w:rsidRPr="004B2514" w:rsidRDefault="00BD0B03" w:rsidP="00B22939">
            <w:pPr>
              <w:rPr>
                <w:rFonts w:ascii="Arial" w:hAnsi="Arial" w:cs="Arial"/>
                <w:sz w:val="20"/>
                <w:szCs w:val="20"/>
              </w:rPr>
            </w:pPr>
            <w:r>
              <w:rPr>
                <w:rFonts w:ascii="Arial" w:hAnsi="Arial"/>
                <w:sz w:val="20"/>
              </w:rPr>
              <w:t>Fonctionnalités</w:t>
            </w:r>
          </w:p>
          <w:p w14:paraId="1CC7FBDD" w14:textId="77777777" w:rsidR="00BD0B03" w:rsidRPr="004B2514" w:rsidRDefault="00BD0B03" w:rsidP="00B22939">
            <w:pPr>
              <w:pStyle w:val="Paragraphedeliste"/>
              <w:numPr>
                <w:ilvl w:val="0"/>
                <w:numId w:val="2"/>
              </w:numPr>
              <w:rPr>
                <w:rFonts w:ascii="Arial" w:hAnsi="Arial" w:cs="Arial"/>
                <w:sz w:val="20"/>
                <w:szCs w:val="20"/>
              </w:rPr>
            </w:pPr>
            <w:r>
              <w:rPr>
                <w:rFonts w:ascii="Arial" w:hAnsi="Arial"/>
                <w:sz w:val="20"/>
              </w:rPr>
              <w:t xml:space="preserve">Utilisation intuitive </w:t>
            </w:r>
          </w:p>
          <w:p w14:paraId="3F161345" w14:textId="77777777" w:rsidR="00BD0B03" w:rsidRPr="004B2514" w:rsidRDefault="00BD0B03" w:rsidP="00B22939">
            <w:pPr>
              <w:pStyle w:val="Paragraphedeliste"/>
              <w:numPr>
                <w:ilvl w:val="0"/>
                <w:numId w:val="2"/>
              </w:numPr>
              <w:rPr>
                <w:rFonts w:ascii="Arial" w:hAnsi="Arial" w:cs="Arial"/>
                <w:sz w:val="20"/>
                <w:szCs w:val="20"/>
              </w:rPr>
            </w:pPr>
            <w:r>
              <w:rPr>
                <w:rFonts w:ascii="Arial" w:hAnsi="Arial"/>
                <w:sz w:val="20"/>
              </w:rPr>
              <w:t>Nombreux rapports</w:t>
            </w:r>
          </w:p>
          <w:p w14:paraId="4CEE0A91" w14:textId="77777777" w:rsidR="00BD0B03" w:rsidRPr="004B2514" w:rsidRDefault="00BD0B03" w:rsidP="00B22939">
            <w:pPr>
              <w:pStyle w:val="Paragraphedeliste"/>
              <w:numPr>
                <w:ilvl w:val="0"/>
                <w:numId w:val="2"/>
              </w:numPr>
              <w:rPr>
                <w:rFonts w:ascii="Arial" w:hAnsi="Arial" w:cs="Arial"/>
                <w:sz w:val="20"/>
                <w:szCs w:val="20"/>
              </w:rPr>
            </w:pPr>
            <w:r>
              <w:rPr>
                <w:rFonts w:ascii="Arial" w:hAnsi="Arial"/>
                <w:sz w:val="20"/>
              </w:rPr>
              <w:t>Suivi des niveaux de réapprovisionnement</w:t>
            </w:r>
          </w:p>
          <w:p w14:paraId="631847F9" w14:textId="77777777" w:rsidR="00BD0B03" w:rsidRPr="004B2514" w:rsidRDefault="00BD0B03" w:rsidP="00B22939">
            <w:pPr>
              <w:pStyle w:val="Paragraphedeliste"/>
              <w:numPr>
                <w:ilvl w:val="0"/>
                <w:numId w:val="2"/>
              </w:numPr>
              <w:rPr>
                <w:rFonts w:ascii="Arial" w:hAnsi="Arial" w:cs="Arial"/>
                <w:sz w:val="20"/>
                <w:szCs w:val="20"/>
              </w:rPr>
            </w:pPr>
            <w:r>
              <w:rPr>
                <w:rFonts w:ascii="Arial" w:hAnsi="Arial"/>
                <w:sz w:val="20"/>
              </w:rPr>
              <w:t>Commandes automatisées</w:t>
            </w:r>
          </w:p>
        </w:tc>
      </w:tr>
      <w:tr w:rsidR="00BD0B03" w:rsidRPr="004B2514" w14:paraId="0DF27F21" w14:textId="77777777" w:rsidTr="00C24DB3">
        <w:tc>
          <w:tcPr>
            <w:tcW w:w="5665" w:type="dxa"/>
          </w:tcPr>
          <w:p w14:paraId="22A92F0B" w14:textId="77777777" w:rsidR="00BD0B03" w:rsidRPr="004B2514" w:rsidRDefault="00BD0B03" w:rsidP="00B22939">
            <w:pPr>
              <w:rPr>
                <w:rFonts w:ascii="Arial" w:hAnsi="Arial" w:cs="Arial"/>
                <w:sz w:val="20"/>
                <w:szCs w:val="20"/>
              </w:rPr>
            </w:pPr>
            <w:r>
              <w:rPr>
                <w:rFonts w:ascii="Arial" w:hAnsi="Arial"/>
                <w:sz w:val="20"/>
              </w:rPr>
              <w:t>Interfaces</w:t>
            </w:r>
          </w:p>
          <w:p w14:paraId="4F7E6B6C" w14:textId="77777777" w:rsidR="00BD0B03" w:rsidRPr="004B2514" w:rsidRDefault="00BD0B03" w:rsidP="00B22939">
            <w:pPr>
              <w:pStyle w:val="Paragraphedeliste"/>
              <w:numPr>
                <w:ilvl w:val="0"/>
                <w:numId w:val="2"/>
              </w:numPr>
              <w:rPr>
                <w:rFonts w:ascii="Arial" w:hAnsi="Arial" w:cs="Arial"/>
                <w:sz w:val="20"/>
                <w:szCs w:val="20"/>
              </w:rPr>
            </w:pPr>
            <w:r>
              <w:rPr>
                <w:rFonts w:ascii="Arial" w:hAnsi="Arial"/>
                <w:sz w:val="20"/>
              </w:rPr>
              <w:t>Système ERP</w:t>
            </w:r>
          </w:p>
          <w:p w14:paraId="3FEBF171" w14:textId="77777777" w:rsidR="00BD0B03" w:rsidRPr="004B2514" w:rsidRDefault="00BD0B03" w:rsidP="00B22939">
            <w:pPr>
              <w:pStyle w:val="Paragraphedeliste"/>
              <w:numPr>
                <w:ilvl w:val="0"/>
                <w:numId w:val="2"/>
              </w:numPr>
              <w:rPr>
                <w:rFonts w:ascii="Arial" w:hAnsi="Arial" w:cs="Arial"/>
                <w:sz w:val="20"/>
                <w:szCs w:val="20"/>
              </w:rPr>
            </w:pPr>
            <w:r>
              <w:rPr>
                <w:rFonts w:ascii="Arial" w:hAnsi="Arial"/>
                <w:sz w:val="20"/>
              </w:rPr>
              <w:t xml:space="preserve">Systèmes de stockage (par ex. : Kardex </w:t>
            </w:r>
            <w:proofErr w:type="spellStart"/>
            <w:r>
              <w:rPr>
                <w:rFonts w:ascii="Arial" w:hAnsi="Arial"/>
                <w:sz w:val="20"/>
              </w:rPr>
              <w:t>Remstar</w:t>
            </w:r>
            <w:proofErr w:type="spellEnd"/>
            <w:r>
              <w:rPr>
                <w:rFonts w:ascii="Arial" w:hAnsi="Arial"/>
                <w:sz w:val="20"/>
              </w:rPr>
              <w:t>)</w:t>
            </w:r>
          </w:p>
          <w:p w14:paraId="599A4268" w14:textId="77777777" w:rsidR="00BD0B03" w:rsidRPr="004B2514" w:rsidRDefault="00BD0B03" w:rsidP="00B22939">
            <w:pPr>
              <w:pStyle w:val="Paragraphedeliste"/>
              <w:numPr>
                <w:ilvl w:val="0"/>
                <w:numId w:val="2"/>
              </w:numPr>
              <w:rPr>
                <w:rFonts w:ascii="Arial" w:hAnsi="Arial" w:cs="Arial"/>
                <w:sz w:val="20"/>
                <w:szCs w:val="20"/>
              </w:rPr>
            </w:pPr>
            <w:r>
              <w:rPr>
                <w:rFonts w:ascii="Arial" w:hAnsi="Arial"/>
                <w:sz w:val="20"/>
              </w:rPr>
              <w:t xml:space="preserve">Capacité </w:t>
            </w:r>
            <w:proofErr w:type="spellStart"/>
            <w:r>
              <w:rPr>
                <w:rFonts w:ascii="Arial" w:hAnsi="Arial"/>
                <w:sz w:val="20"/>
              </w:rPr>
              <w:t>multi-fournisseurs</w:t>
            </w:r>
            <w:proofErr w:type="spellEnd"/>
          </w:p>
        </w:tc>
      </w:tr>
    </w:tbl>
    <w:p w14:paraId="5C256C0C" w14:textId="77777777" w:rsidR="00356099" w:rsidRDefault="00356099" w:rsidP="0031494F">
      <w:pPr>
        <w:spacing w:after="0" w:line="240" w:lineRule="auto"/>
        <w:rPr>
          <w:rFonts w:ascii="Arial" w:hAnsi="Arial"/>
          <w:sz w:val="20"/>
        </w:rPr>
      </w:pPr>
    </w:p>
    <w:p w14:paraId="7569D13B" w14:textId="2EF73127" w:rsidR="0031494F" w:rsidRPr="004B2514" w:rsidRDefault="0031494F" w:rsidP="0031494F">
      <w:pPr>
        <w:spacing w:after="0" w:line="240" w:lineRule="auto"/>
        <w:rPr>
          <w:rFonts w:ascii="Arial" w:hAnsi="Arial" w:cs="Arial"/>
          <w:sz w:val="20"/>
          <w:szCs w:val="20"/>
        </w:rPr>
      </w:pPr>
      <w:r>
        <w:rPr>
          <w:rFonts w:ascii="Arial" w:hAnsi="Arial"/>
          <w:sz w:val="20"/>
        </w:rPr>
        <w:t xml:space="preserve">ENCADRÉ 1 : </w:t>
      </w:r>
    </w:p>
    <w:p w14:paraId="27F8232A" w14:textId="77777777" w:rsidR="0031494F" w:rsidRDefault="0031494F" w:rsidP="00B22939">
      <w:pPr>
        <w:spacing w:after="0" w:line="240" w:lineRule="auto"/>
        <w:rPr>
          <w:rFonts w:ascii="Arial" w:hAnsi="Arial" w:cs="Arial"/>
          <w:noProof/>
        </w:rPr>
      </w:pPr>
    </w:p>
    <w:p w14:paraId="501C1C71" w14:textId="21177F66" w:rsidR="00BD0B03" w:rsidRPr="004B2514" w:rsidRDefault="00BD0B03" w:rsidP="00B22939">
      <w:pPr>
        <w:spacing w:after="0" w:line="240" w:lineRule="auto"/>
        <w:rPr>
          <w:rFonts w:ascii="Arial" w:hAnsi="Arial" w:cs="Arial"/>
          <w:sz w:val="20"/>
          <w:szCs w:val="20"/>
        </w:rPr>
      </w:pPr>
    </w:p>
    <w:p w14:paraId="7AE9A1D7" w14:textId="780D24FA" w:rsidR="00BD0B03" w:rsidRDefault="00BD0B03" w:rsidP="00B22939">
      <w:pPr>
        <w:spacing w:after="0" w:line="240" w:lineRule="auto"/>
        <w:rPr>
          <w:rFonts w:ascii="Arial" w:hAnsi="Arial" w:cs="Arial"/>
        </w:rPr>
      </w:pPr>
    </w:p>
    <w:tbl>
      <w:tblPr>
        <w:tblStyle w:val="Grilledutableau"/>
        <w:tblW w:w="8642" w:type="dxa"/>
        <w:tblLook w:val="04A0" w:firstRow="1" w:lastRow="0" w:firstColumn="1" w:lastColumn="0" w:noHBand="0" w:noVBand="1"/>
      </w:tblPr>
      <w:tblGrid>
        <w:gridCol w:w="5382"/>
        <w:gridCol w:w="3260"/>
      </w:tblGrid>
      <w:tr w:rsidR="00BD0B03" w:rsidRPr="004B2514" w14:paraId="634F23D1" w14:textId="77777777" w:rsidTr="0031494F">
        <w:tc>
          <w:tcPr>
            <w:tcW w:w="5382" w:type="dxa"/>
          </w:tcPr>
          <w:p w14:paraId="24E4F5A8" w14:textId="77777777" w:rsidR="00BD0B03" w:rsidRPr="004B2514" w:rsidRDefault="00BD0B03" w:rsidP="00B22939">
            <w:pPr>
              <w:rPr>
                <w:rFonts w:ascii="Arial" w:hAnsi="Arial" w:cs="Arial"/>
                <w:sz w:val="20"/>
                <w:szCs w:val="20"/>
              </w:rPr>
            </w:pPr>
            <w:r>
              <w:rPr>
                <w:rFonts w:ascii="Arial" w:hAnsi="Arial"/>
                <w:noProof/>
              </w:rPr>
              <w:drawing>
                <wp:inline distT="0" distB="0" distL="0" distR="0" wp14:anchorId="6E1E06E1" wp14:editId="10FACC8B">
                  <wp:extent cx="962801" cy="1692377"/>
                  <wp:effectExtent l="0" t="0" r="889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88535" cy="1737611"/>
                          </a:xfrm>
                          <a:prstGeom prst="rect">
                            <a:avLst/>
                          </a:prstGeom>
                        </pic:spPr>
                      </pic:pic>
                    </a:graphicData>
                  </a:graphic>
                </wp:inline>
              </w:drawing>
            </w:r>
            <w:r>
              <w:rPr>
                <w:rFonts w:ascii="Arial" w:hAnsi="Arial"/>
              </w:rPr>
              <w:t xml:space="preserve"> </w:t>
            </w:r>
            <w:r>
              <w:rPr>
                <w:noProof/>
              </w:rPr>
              <w:drawing>
                <wp:inline distT="0" distB="0" distL="0" distR="0" wp14:anchorId="0085AC11" wp14:editId="2326CB2A">
                  <wp:extent cx="1071182" cy="169688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27047" cy="1785386"/>
                          </a:xfrm>
                          <a:prstGeom prst="rect">
                            <a:avLst/>
                          </a:prstGeom>
                        </pic:spPr>
                      </pic:pic>
                    </a:graphicData>
                  </a:graphic>
                </wp:inline>
              </w:drawing>
            </w:r>
            <w:r>
              <w:rPr>
                <w:rFonts w:ascii="Arial" w:hAnsi="Arial"/>
              </w:rPr>
              <w:t xml:space="preserve"> </w:t>
            </w:r>
            <w:r>
              <w:rPr>
                <w:noProof/>
              </w:rPr>
              <w:drawing>
                <wp:inline distT="0" distB="0" distL="0" distR="0" wp14:anchorId="224CCC93" wp14:editId="7750D8DC">
                  <wp:extent cx="1151681" cy="183606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14380" cy="1936025"/>
                          </a:xfrm>
                          <a:prstGeom prst="rect">
                            <a:avLst/>
                          </a:prstGeom>
                        </pic:spPr>
                      </pic:pic>
                    </a:graphicData>
                  </a:graphic>
                </wp:inline>
              </w:drawing>
            </w:r>
          </w:p>
        </w:tc>
        <w:tc>
          <w:tcPr>
            <w:tcW w:w="3260" w:type="dxa"/>
          </w:tcPr>
          <w:p w14:paraId="7EB0E506" w14:textId="77777777" w:rsidR="00BD0B03" w:rsidRPr="004B2514" w:rsidRDefault="00BD0B03" w:rsidP="00B22939">
            <w:pPr>
              <w:rPr>
                <w:rFonts w:ascii="Arial" w:hAnsi="Arial" w:cs="Arial"/>
                <w:sz w:val="20"/>
                <w:szCs w:val="20"/>
              </w:rPr>
            </w:pPr>
            <w:r>
              <w:rPr>
                <w:rFonts w:ascii="Arial" w:hAnsi="Arial"/>
                <w:sz w:val="20"/>
              </w:rPr>
              <w:t xml:space="preserve">À l’aide d’une application, le conseiller clientèle de Hoffmann Group est en mesure de calculer les coûts de processus pour son client. </w:t>
            </w:r>
          </w:p>
        </w:tc>
      </w:tr>
    </w:tbl>
    <w:p w14:paraId="4B33FFB1" w14:textId="666520D9" w:rsidR="00BD0B03" w:rsidRDefault="00BD0B03" w:rsidP="00B22939">
      <w:pPr>
        <w:spacing w:after="0" w:line="240" w:lineRule="auto"/>
        <w:rPr>
          <w:rFonts w:ascii="Arial" w:hAnsi="Arial" w:cs="Arial"/>
        </w:rPr>
      </w:pPr>
    </w:p>
    <w:p w14:paraId="50AA0198" w14:textId="250BF91D" w:rsidR="007A33C9" w:rsidRDefault="007A33C9" w:rsidP="00B22939">
      <w:pPr>
        <w:spacing w:after="0" w:line="240" w:lineRule="auto"/>
        <w:rPr>
          <w:rFonts w:ascii="Arial" w:hAnsi="Arial" w:cs="Arial"/>
        </w:rPr>
      </w:pPr>
    </w:p>
    <w:p w14:paraId="57609FA8" w14:textId="77777777" w:rsidR="007A33C9" w:rsidRDefault="007A33C9" w:rsidP="00B22939">
      <w:pPr>
        <w:spacing w:after="0" w:line="240" w:lineRule="auto"/>
        <w:rPr>
          <w:rFonts w:ascii="Arial" w:hAnsi="Arial" w:cs="Arial"/>
        </w:rPr>
      </w:pPr>
    </w:p>
    <w:tbl>
      <w:tblPr>
        <w:tblStyle w:val="Grilledutableau"/>
        <w:tblW w:w="0" w:type="auto"/>
        <w:tblLook w:val="04A0" w:firstRow="1" w:lastRow="0" w:firstColumn="1" w:lastColumn="0" w:noHBand="0" w:noVBand="1"/>
      </w:tblPr>
      <w:tblGrid>
        <w:gridCol w:w="3066"/>
        <w:gridCol w:w="2458"/>
        <w:gridCol w:w="3114"/>
      </w:tblGrid>
      <w:tr w:rsidR="00B22939" w:rsidRPr="00BC3AAC" w14:paraId="0C07A6D3" w14:textId="77777777" w:rsidTr="0031494F">
        <w:tc>
          <w:tcPr>
            <w:tcW w:w="3066" w:type="dxa"/>
          </w:tcPr>
          <w:p w14:paraId="23B34490" w14:textId="77777777" w:rsidR="00B22939" w:rsidRPr="00BC3AAC" w:rsidRDefault="00B22939" w:rsidP="00B22939">
            <w:pPr>
              <w:rPr>
                <w:noProof/>
                <w:sz w:val="20"/>
                <w:szCs w:val="20"/>
              </w:rPr>
            </w:pPr>
          </w:p>
          <w:p w14:paraId="2F5A0E12" w14:textId="77777777" w:rsidR="00B22939" w:rsidRPr="00BC3AAC" w:rsidRDefault="00B22939" w:rsidP="00B22939">
            <w:pPr>
              <w:rPr>
                <w:sz w:val="20"/>
                <w:szCs w:val="20"/>
              </w:rPr>
            </w:pPr>
            <w:r>
              <w:rPr>
                <w:noProof/>
                <w:sz w:val="20"/>
              </w:rPr>
              <w:drawing>
                <wp:inline distT="0" distB="0" distL="0" distR="0" wp14:anchorId="0AA8D651" wp14:editId="50DF767C">
                  <wp:extent cx="1528767" cy="1973580"/>
                  <wp:effectExtent l="0" t="0" r="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7969"/>
                          <a:stretch/>
                        </pic:blipFill>
                        <pic:spPr bwMode="auto">
                          <a:xfrm>
                            <a:off x="0" y="0"/>
                            <a:ext cx="1541452" cy="1989955"/>
                          </a:xfrm>
                          <a:prstGeom prst="rect">
                            <a:avLst/>
                          </a:prstGeom>
                          <a:ln>
                            <a:noFill/>
                          </a:ln>
                          <a:extLst>
                            <a:ext uri="{53640926-AAD7-44D8-BBD7-CCE9431645EC}">
                              <a14:shadowObscured xmlns:a14="http://schemas.microsoft.com/office/drawing/2010/main"/>
                            </a:ext>
                          </a:extLst>
                        </pic:spPr>
                      </pic:pic>
                    </a:graphicData>
                  </a:graphic>
                </wp:inline>
              </w:drawing>
            </w:r>
          </w:p>
          <w:p w14:paraId="2CDAA680" w14:textId="77777777" w:rsidR="00B22939" w:rsidRPr="00BC3AAC" w:rsidRDefault="00B22939" w:rsidP="00B22939">
            <w:pPr>
              <w:rPr>
                <w:sz w:val="20"/>
                <w:szCs w:val="20"/>
              </w:rPr>
            </w:pPr>
            <w:r>
              <w:rPr>
                <w:sz w:val="20"/>
              </w:rPr>
              <w:t xml:space="preserve">Le système GARANT Tool24 permet d'interconnecter et de gérer de manière centralisée des armoires à tiroirs, des casiers et </w:t>
            </w:r>
            <w:r>
              <w:rPr>
                <w:sz w:val="20"/>
              </w:rPr>
              <w:lastRenderedPageBreak/>
              <w:t>des systèmes de distribution individuels.</w:t>
            </w:r>
          </w:p>
        </w:tc>
        <w:tc>
          <w:tcPr>
            <w:tcW w:w="2458" w:type="dxa"/>
          </w:tcPr>
          <w:p w14:paraId="5B324DCC" w14:textId="77777777" w:rsidR="00B22939" w:rsidRPr="00BC3AAC" w:rsidRDefault="00B22939" w:rsidP="00B22939">
            <w:pPr>
              <w:rPr>
                <w:sz w:val="20"/>
                <w:szCs w:val="20"/>
              </w:rPr>
            </w:pPr>
          </w:p>
          <w:p w14:paraId="33DF6806" w14:textId="77777777" w:rsidR="00B22939" w:rsidRPr="00BC3AAC" w:rsidRDefault="00B22939" w:rsidP="00B22939">
            <w:pPr>
              <w:rPr>
                <w:sz w:val="20"/>
                <w:szCs w:val="20"/>
              </w:rPr>
            </w:pPr>
            <w:r>
              <w:rPr>
                <w:noProof/>
                <w:sz w:val="20"/>
              </w:rPr>
              <w:drawing>
                <wp:inline distT="0" distB="0" distL="0" distR="0" wp14:anchorId="51E8EF31" wp14:editId="6CCA79FE">
                  <wp:extent cx="1403898" cy="1973580"/>
                  <wp:effectExtent l="0" t="0" r="635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177"/>
                          <a:stretch/>
                        </pic:blipFill>
                        <pic:spPr bwMode="auto">
                          <a:xfrm>
                            <a:off x="0" y="0"/>
                            <a:ext cx="1407350" cy="1978433"/>
                          </a:xfrm>
                          <a:prstGeom prst="rect">
                            <a:avLst/>
                          </a:prstGeom>
                          <a:ln>
                            <a:noFill/>
                          </a:ln>
                          <a:extLst>
                            <a:ext uri="{53640926-AAD7-44D8-BBD7-CCE9431645EC}">
                              <a14:shadowObscured xmlns:a14="http://schemas.microsoft.com/office/drawing/2010/main"/>
                            </a:ext>
                          </a:extLst>
                        </pic:spPr>
                      </pic:pic>
                    </a:graphicData>
                  </a:graphic>
                </wp:inline>
              </w:drawing>
            </w:r>
          </w:p>
          <w:p w14:paraId="1CA66AA6" w14:textId="77777777" w:rsidR="00B22939" w:rsidRPr="00BC3AAC" w:rsidRDefault="00B22939" w:rsidP="00B22939">
            <w:pPr>
              <w:rPr>
                <w:rFonts w:eastAsia="Calibri" w:cs="Arial"/>
                <w:sz w:val="20"/>
                <w:szCs w:val="20"/>
              </w:rPr>
            </w:pPr>
            <w:r>
              <w:rPr>
                <w:sz w:val="20"/>
              </w:rPr>
              <w:t xml:space="preserve">GARANT Tool24 </w:t>
            </w:r>
            <w:proofErr w:type="spellStart"/>
            <w:r>
              <w:rPr>
                <w:sz w:val="20"/>
              </w:rPr>
              <w:t>PickOne</w:t>
            </w:r>
            <w:proofErr w:type="spellEnd"/>
            <w:r>
              <w:rPr>
                <w:sz w:val="20"/>
              </w:rPr>
              <w:t xml:space="preserve"> convient pour la distribution individuelle d'articles de type C.</w:t>
            </w:r>
          </w:p>
          <w:p w14:paraId="37562C2F" w14:textId="77777777" w:rsidR="00B22939" w:rsidRPr="00BC3AAC" w:rsidRDefault="00B22939" w:rsidP="00B22939">
            <w:pPr>
              <w:rPr>
                <w:sz w:val="20"/>
                <w:szCs w:val="20"/>
              </w:rPr>
            </w:pPr>
          </w:p>
        </w:tc>
        <w:tc>
          <w:tcPr>
            <w:tcW w:w="3114" w:type="dxa"/>
          </w:tcPr>
          <w:p w14:paraId="7FE9E4A8" w14:textId="77777777" w:rsidR="00B22939" w:rsidRPr="00BC3AAC" w:rsidRDefault="00B22939" w:rsidP="00B22939">
            <w:pPr>
              <w:rPr>
                <w:noProof/>
                <w:sz w:val="20"/>
                <w:szCs w:val="20"/>
              </w:rPr>
            </w:pPr>
          </w:p>
          <w:p w14:paraId="4AF5FC37" w14:textId="77777777" w:rsidR="00B22939" w:rsidRPr="00BC3AAC" w:rsidRDefault="00B22939" w:rsidP="00B22939">
            <w:pPr>
              <w:rPr>
                <w:sz w:val="20"/>
                <w:szCs w:val="20"/>
              </w:rPr>
            </w:pPr>
            <w:r>
              <w:rPr>
                <w:noProof/>
                <w:sz w:val="20"/>
              </w:rPr>
              <w:drawing>
                <wp:inline distT="0" distB="0" distL="0" distR="0" wp14:anchorId="0C064302" wp14:editId="67456AFB">
                  <wp:extent cx="1614488" cy="959336"/>
                  <wp:effectExtent l="0" t="0" r="508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45082" cy="977515"/>
                          </a:xfrm>
                          <a:prstGeom prst="rect">
                            <a:avLst/>
                          </a:prstGeom>
                        </pic:spPr>
                      </pic:pic>
                    </a:graphicData>
                  </a:graphic>
                </wp:inline>
              </w:drawing>
            </w:r>
          </w:p>
          <w:p w14:paraId="0B3B1A50" w14:textId="139144E8" w:rsidR="00B22939" w:rsidRDefault="00B22939" w:rsidP="00B22939">
            <w:pPr>
              <w:rPr>
                <w:rFonts w:eastAsia="Calibri" w:cs="Arial"/>
                <w:sz w:val="20"/>
                <w:szCs w:val="20"/>
              </w:rPr>
            </w:pPr>
            <w:r>
              <w:rPr>
                <w:sz w:val="20"/>
              </w:rPr>
              <w:t>Les armoires de distribution d'articles GARANT Tool24 offrent de la place pour les articles de petite et grande taille.</w:t>
            </w:r>
          </w:p>
          <w:p w14:paraId="470D2490" w14:textId="77777777" w:rsidR="0031494F" w:rsidRPr="00BC3AAC" w:rsidRDefault="0031494F" w:rsidP="00B22939">
            <w:pPr>
              <w:rPr>
                <w:sz w:val="20"/>
                <w:szCs w:val="20"/>
              </w:rPr>
            </w:pPr>
          </w:p>
          <w:p w14:paraId="756D242F" w14:textId="77777777" w:rsidR="00B22939" w:rsidRPr="00BC3AAC" w:rsidRDefault="00B22939" w:rsidP="00B22939">
            <w:pPr>
              <w:rPr>
                <w:sz w:val="20"/>
                <w:szCs w:val="20"/>
              </w:rPr>
            </w:pPr>
            <w:r>
              <w:rPr>
                <w:noProof/>
                <w:sz w:val="20"/>
              </w:rPr>
              <w:lastRenderedPageBreak/>
              <w:drawing>
                <wp:inline distT="0" distB="0" distL="0" distR="0" wp14:anchorId="6D26156B" wp14:editId="69109BD6">
                  <wp:extent cx="1644015" cy="108724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3927"/>
                          <a:stretch/>
                        </pic:blipFill>
                        <pic:spPr bwMode="auto">
                          <a:xfrm>
                            <a:off x="0" y="0"/>
                            <a:ext cx="1699125" cy="1123686"/>
                          </a:xfrm>
                          <a:prstGeom prst="rect">
                            <a:avLst/>
                          </a:prstGeom>
                          <a:ln>
                            <a:noFill/>
                          </a:ln>
                          <a:extLst>
                            <a:ext uri="{53640926-AAD7-44D8-BBD7-CCE9431645EC}">
                              <a14:shadowObscured xmlns:a14="http://schemas.microsoft.com/office/drawing/2010/main"/>
                            </a:ext>
                          </a:extLst>
                        </pic:spPr>
                      </pic:pic>
                    </a:graphicData>
                  </a:graphic>
                </wp:inline>
              </w:drawing>
            </w:r>
          </w:p>
          <w:p w14:paraId="771216F5" w14:textId="77777777" w:rsidR="00B22939" w:rsidRPr="00BC3AAC" w:rsidRDefault="00B22939" w:rsidP="00B22939">
            <w:pPr>
              <w:rPr>
                <w:sz w:val="20"/>
                <w:szCs w:val="20"/>
              </w:rPr>
            </w:pPr>
            <w:r>
              <w:rPr>
                <w:sz w:val="20"/>
              </w:rPr>
              <w:t>Le système GARANT Tool24 </w:t>
            </w:r>
            <w:proofErr w:type="spellStart"/>
            <w:r>
              <w:rPr>
                <w:sz w:val="20"/>
              </w:rPr>
              <w:t>Locker</w:t>
            </w:r>
            <w:proofErr w:type="spellEnd"/>
            <w:r>
              <w:rPr>
                <w:sz w:val="20"/>
              </w:rPr>
              <w:t xml:space="preserve"> permet de gérer les appareils de location et de charger les batteries.</w:t>
            </w:r>
          </w:p>
        </w:tc>
      </w:tr>
    </w:tbl>
    <w:p w14:paraId="58207C9B" w14:textId="5CEE8F4A" w:rsidR="0001553F" w:rsidRDefault="0001553F" w:rsidP="006C67A8">
      <w:pPr>
        <w:rPr>
          <w:rFonts w:ascii="Arial" w:hAnsi="Arial" w:cs="Arial"/>
        </w:rPr>
      </w:pPr>
    </w:p>
    <w:p w14:paraId="4C1656F1" w14:textId="77777777" w:rsidR="00B5426C" w:rsidRDefault="00B5426C" w:rsidP="00B5426C">
      <w:pPr>
        <w:spacing w:after="240"/>
        <w:rPr>
          <w:rFonts w:ascii="Arial" w:hAnsi="Arial" w:cs="Arial"/>
          <w:b/>
          <w:bCs/>
          <w:color w:val="ED7D31"/>
        </w:rPr>
      </w:pPr>
      <w:r>
        <w:rPr>
          <w:rFonts w:ascii="Arial" w:hAnsi="Arial" w:cs="Arial"/>
          <w:b/>
          <w:bCs/>
          <w:color w:val="ED7D31"/>
        </w:rPr>
        <w:t>À propos de Hoffmann Group</w:t>
      </w:r>
    </w:p>
    <w:p w14:paraId="101241D5" w14:textId="77777777" w:rsidR="00B5426C" w:rsidRDefault="00B5426C" w:rsidP="00B5426C">
      <w:pPr>
        <w:jc w:val="both"/>
        <w:rPr>
          <w:rFonts w:ascii="Arial" w:hAnsi="Arial" w:cs="Arial"/>
          <w:bCs/>
          <w:iCs/>
        </w:rPr>
      </w:pPr>
      <w:r w:rsidRPr="002A0EFB">
        <w:rPr>
          <w:rFonts w:ascii="Arial" w:hAnsi="Arial" w:cs="Arial"/>
        </w:rPr>
        <w:t xml:space="preserve">Premier partenaire système européen dans l’outillage de qualité, la société </w:t>
      </w:r>
      <w:hyperlink r:id="rId20" w:history="1">
        <w:r w:rsidRPr="002A0EFB">
          <w:rPr>
            <w:rFonts w:ascii="Arial" w:hAnsi="Arial" w:cs="Arial"/>
            <w:color w:val="FF6600"/>
          </w:rPr>
          <w:t>Hoffmann Group</w:t>
        </w:r>
      </w:hyperlink>
      <w:r w:rsidRPr="002A0EFB">
        <w:rPr>
          <w:rFonts w:ascii="Arial" w:hAnsi="Arial" w:cs="Arial"/>
        </w:rPr>
        <w:t xml:space="preserve"> conjugue les compétences de distributeur, de fabricant et de prestataire de services. Cette combinaison garantit à plus de 135 000 clients une sécurité maximale en termes d’approvisionnement, de qualité et de productivité dans le domaine de l’outillage, des équipements d’atelier et des équipements de protection individuelle. Des conseils optimaux et fiables, allant de l’analyse personnalisée des besoins à l’utilisation efficace des produits, sont toujours proposés. Outre les outils d’usinage, de serrage, de mesure, de meulage et de tronçonnage, sa gamme de produits englobe des outils à main, des équipements de protection, des équipements d’atelier et des fournitures industrielles. Au nombre de ses clients figurent de grandes entreprises cotées en bourse, mais aussi de petites et moyennes entreprises dans plus de 50 pays. </w:t>
      </w:r>
      <w:r>
        <w:rPr>
          <w:rFonts w:ascii="Arial" w:eastAsia="Calibri" w:hAnsi="Arial" w:cs="Arial"/>
        </w:rPr>
        <w:t>Aux côtés de ses propres</w:t>
      </w:r>
      <w:r w:rsidRPr="00890BC1">
        <w:rPr>
          <w:rFonts w:ascii="Arial" w:eastAsia="Calibri" w:hAnsi="Arial" w:cs="Arial"/>
        </w:rPr>
        <w:t xml:space="preserve"> marques </w:t>
      </w:r>
      <w:hyperlink r:id="rId21" w:history="1">
        <w:r w:rsidRPr="00890BC1">
          <w:rPr>
            <w:rStyle w:val="Lienhypertexte"/>
            <w:rFonts w:ascii="Arial" w:eastAsia="Calibri" w:hAnsi="Arial" w:cs="Arial"/>
            <w:b/>
            <w:bCs/>
            <w:color w:val="0070C0"/>
          </w:rPr>
          <w:t>GARANT</w:t>
        </w:r>
      </w:hyperlink>
      <w:r w:rsidRPr="00890BC1">
        <w:rPr>
          <w:rFonts w:ascii="Arial" w:eastAsia="Calibri" w:hAnsi="Arial" w:cs="Arial"/>
        </w:rPr>
        <w:t xml:space="preserve"> et </w:t>
      </w:r>
      <w:hyperlink r:id="rId22" w:history="1">
        <w:r w:rsidRPr="00890BC1">
          <w:rPr>
            <w:rStyle w:val="Lienhypertexte"/>
            <w:rFonts w:ascii="Arial" w:eastAsia="Calibri" w:hAnsi="Arial" w:cs="Arial"/>
            <w:b/>
            <w:bCs/>
            <w:color w:val="FF0000"/>
          </w:rPr>
          <w:t>HOLEX</w:t>
        </w:r>
      </w:hyperlink>
      <w:r w:rsidRPr="00890BC1">
        <w:rPr>
          <w:rFonts w:ascii="Arial" w:eastAsia="Calibri" w:hAnsi="Arial" w:cs="Arial"/>
        </w:rPr>
        <w:t xml:space="preserve">, </w:t>
      </w:r>
      <w:r w:rsidRPr="002A0EFB">
        <w:rPr>
          <w:rFonts w:ascii="Arial" w:hAnsi="Arial" w:cs="Arial"/>
        </w:rPr>
        <w:t xml:space="preserve">Hoffmann Group propose plus de </w:t>
      </w:r>
      <w:r>
        <w:rPr>
          <w:rFonts w:ascii="Arial" w:hAnsi="Arial" w:cs="Arial"/>
        </w:rPr>
        <w:t>120</w:t>
      </w:r>
      <w:r w:rsidRPr="002A0EFB">
        <w:rPr>
          <w:rFonts w:ascii="Arial" w:hAnsi="Arial" w:cs="Arial"/>
        </w:rPr>
        <w:t xml:space="preserve"> 000 outils de qualité provenant des principaux fabricants mondiaux. Fort d’un service client omniprésent et offrant une qualité de livraison de plus de 99 % certifiée par le TÜV, le spécialiste de l’outillage, dont le siège est basé à Munich, est un partenaire efficace et fiable pour ses clients. </w:t>
      </w:r>
      <w:r w:rsidRPr="002A0EFB">
        <w:rPr>
          <w:rFonts w:ascii="Arial" w:hAnsi="Arial" w:cs="Arial"/>
          <w:bCs/>
          <w:iCs/>
        </w:rPr>
        <w:t>Hoffmann Group emploie 4 000 collaborateurs et a dégagé un chiffre d’affaires de près d’1,</w:t>
      </w:r>
      <w:r>
        <w:rPr>
          <w:rFonts w:ascii="Arial" w:hAnsi="Arial" w:cs="Arial"/>
          <w:bCs/>
          <w:iCs/>
        </w:rPr>
        <w:t>4</w:t>
      </w:r>
      <w:r w:rsidRPr="002A0EFB">
        <w:rPr>
          <w:rFonts w:ascii="Arial" w:hAnsi="Arial" w:cs="Arial"/>
          <w:bCs/>
          <w:iCs/>
        </w:rPr>
        <w:t> milliard d’euros en 20</w:t>
      </w:r>
      <w:r>
        <w:rPr>
          <w:rFonts w:ascii="Arial" w:hAnsi="Arial" w:cs="Arial"/>
          <w:bCs/>
          <w:iCs/>
        </w:rPr>
        <w:t>22</w:t>
      </w:r>
      <w:r w:rsidRPr="002A0EFB">
        <w:rPr>
          <w:rFonts w:ascii="Arial" w:hAnsi="Arial" w:cs="Arial"/>
          <w:bCs/>
          <w:iCs/>
        </w:rPr>
        <w:t>.</w:t>
      </w:r>
      <w:r>
        <w:rPr>
          <w:rFonts w:ascii="Arial" w:hAnsi="Arial" w:cs="Arial"/>
          <w:bCs/>
          <w:iCs/>
        </w:rPr>
        <w:t xml:space="preserve"> </w:t>
      </w:r>
      <w:r w:rsidRPr="000B35E6">
        <w:rPr>
          <w:rFonts w:ascii="Arial" w:hAnsi="Arial" w:cs="Arial"/>
          <w:bCs/>
          <w:iCs/>
        </w:rPr>
        <w:t xml:space="preserve">Hoffmann SE, le cœur </w:t>
      </w:r>
      <w:r>
        <w:rPr>
          <w:rFonts w:ascii="Arial" w:hAnsi="Arial" w:cs="Arial"/>
          <w:bCs/>
          <w:iCs/>
        </w:rPr>
        <w:t>d’</w:t>
      </w:r>
      <w:r w:rsidRPr="000B35E6">
        <w:rPr>
          <w:rFonts w:ascii="Arial" w:hAnsi="Arial" w:cs="Arial"/>
          <w:bCs/>
          <w:iCs/>
        </w:rPr>
        <w:t>Hoffmann</w:t>
      </w:r>
      <w:r>
        <w:rPr>
          <w:rFonts w:ascii="Arial" w:hAnsi="Arial" w:cs="Arial"/>
          <w:bCs/>
          <w:iCs/>
        </w:rPr>
        <w:t xml:space="preserve"> Group</w:t>
      </w:r>
      <w:r w:rsidRPr="000B35E6">
        <w:rPr>
          <w:rFonts w:ascii="Arial" w:hAnsi="Arial" w:cs="Arial"/>
          <w:bCs/>
          <w:iCs/>
        </w:rPr>
        <w:t>, fait partie de la société suisse SFS AG depuis mai 2022 et y est gérée comme une division indépendante.</w:t>
      </w:r>
    </w:p>
    <w:p w14:paraId="3C164577" w14:textId="77777777" w:rsidR="005321FA" w:rsidRDefault="005321FA" w:rsidP="00B5426C">
      <w:pPr>
        <w:rPr>
          <w:rFonts w:ascii="Arial" w:hAnsi="Arial" w:cs="Arial"/>
          <w:b/>
          <w:bCs/>
        </w:rPr>
      </w:pPr>
    </w:p>
    <w:p w14:paraId="35266837" w14:textId="75904E3C" w:rsidR="00B5426C" w:rsidRDefault="00B5426C" w:rsidP="00B5426C">
      <w:pPr>
        <w:rPr>
          <w:rFonts w:ascii="Arial" w:hAnsi="Arial" w:cs="Arial"/>
        </w:rPr>
      </w:pPr>
      <w:r>
        <w:rPr>
          <w:rFonts w:ascii="Arial" w:hAnsi="Arial" w:cs="Arial"/>
          <w:b/>
          <w:bCs/>
        </w:rPr>
        <w:t>Pour plus d’informations, visitez le site</w:t>
      </w:r>
      <w:r>
        <w:rPr>
          <w:rFonts w:ascii="Arial" w:hAnsi="Arial" w:cs="Arial"/>
          <w:b/>
          <w:bCs/>
          <w:color w:val="ED7D31"/>
        </w:rPr>
        <w:t xml:space="preserve"> </w:t>
      </w:r>
      <w:hyperlink r:id="rId23" w:history="1">
        <w:r>
          <w:rPr>
            <w:rStyle w:val="Lienhypertexte"/>
            <w:rFonts w:cs="Arial"/>
            <w:b/>
            <w:bCs/>
            <w:color w:val="ED7D31"/>
          </w:rPr>
          <w:t>www.hoffmann-group.com</w:t>
        </w:r>
      </w:hyperlink>
    </w:p>
    <w:p w14:paraId="3DB4350D" w14:textId="22AF021F" w:rsidR="00B5426C" w:rsidRDefault="00B5426C" w:rsidP="00B5426C">
      <w:pPr>
        <w:tabs>
          <w:tab w:val="left" w:pos="6237"/>
        </w:tabs>
        <w:jc w:val="both"/>
        <w:rPr>
          <w:rFonts w:ascii="Arial" w:hAnsi="Arial" w:cs="Arial"/>
          <w:b/>
        </w:rPr>
      </w:pPr>
      <w:r>
        <w:rPr>
          <w:rFonts w:ascii="Arial" w:hAnsi="Arial" w:cs="Arial"/>
          <w:b/>
        </w:rPr>
        <w:t>Contact presse</w:t>
      </w:r>
    </w:p>
    <w:p w14:paraId="456418A7" w14:textId="77777777" w:rsidR="00B5426C" w:rsidRDefault="00B5426C" w:rsidP="00B5426C">
      <w:pPr>
        <w:tabs>
          <w:tab w:val="left" w:pos="6237"/>
        </w:tabs>
        <w:jc w:val="both"/>
        <w:rPr>
          <w:rFonts w:ascii="Arial" w:hAnsi="Arial" w:cs="Arial"/>
          <w:b/>
        </w:rPr>
      </w:pPr>
      <w:r>
        <w:rPr>
          <w:rFonts w:ascii="Arial" w:hAnsi="Arial" w:cs="Arial"/>
          <w:b/>
        </w:rPr>
        <w:t>Hoffmann France SAS</w:t>
      </w:r>
    </w:p>
    <w:p w14:paraId="2C128BD8" w14:textId="77777777" w:rsidR="00B5426C" w:rsidRDefault="00B5426C" w:rsidP="00B5426C">
      <w:pPr>
        <w:tabs>
          <w:tab w:val="left" w:pos="6237"/>
        </w:tabs>
        <w:jc w:val="both"/>
        <w:rPr>
          <w:rFonts w:ascii="Arial" w:hAnsi="Arial" w:cs="Arial"/>
        </w:rPr>
      </w:pPr>
      <w:r>
        <w:rPr>
          <w:rFonts w:ascii="Arial" w:hAnsi="Arial" w:cs="Arial"/>
        </w:rPr>
        <w:t>1 rue Gay Lussac</w:t>
      </w:r>
    </w:p>
    <w:p w14:paraId="5E8BBAC1" w14:textId="77777777" w:rsidR="00B5426C" w:rsidRDefault="00B5426C" w:rsidP="00B5426C">
      <w:pPr>
        <w:tabs>
          <w:tab w:val="left" w:pos="6237"/>
        </w:tabs>
        <w:jc w:val="both"/>
        <w:rPr>
          <w:rFonts w:ascii="Arial" w:hAnsi="Arial" w:cs="Arial"/>
          <w:lang w:val="en-US"/>
        </w:rPr>
      </w:pPr>
      <w:r>
        <w:rPr>
          <w:rFonts w:ascii="Arial" w:hAnsi="Arial" w:cs="Arial"/>
          <w:lang w:val="en-US"/>
        </w:rPr>
        <w:t>F+67410 DRUSENHEIM</w:t>
      </w:r>
    </w:p>
    <w:p w14:paraId="31885D6C" w14:textId="77777777" w:rsidR="00B5426C" w:rsidRDefault="007F07CF" w:rsidP="00B5426C">
      <w:pPr>
        <w:tabs>
          <w:tab w:val="left" w:pos="284"/>
          <w:tab w:val="left" w:pos="426"/>
          <w:tab w:val="left" w:pos="6237"/>
        </w:tabs>
        <w:jc w:val="both"/>
        <w:rPr>
          <w:rFonts w:ascii="Arial" w:hAnsi="Arial" w:cs="Arial"/>
          <w:color w:val="FF6600"/>
          <w:lang w:val="en-US"/>
        </w:rPr>
      </w:pPr>
      <w:hyperlink r:id="rId24" w:history="1">
        <w:r w:rsidR="00B5426C">
          <w:rPr>
            <w:rStyle w:val="Lienhypertexte"/>
            <w:rFonts w:cs="Arial"/>
            <w:color w:val="FF6600"/>
            <w:lang w:val="en-US"/>
          </w:rPr>
          <w:t>www.hoffmann-group.com</w:t>
        </w:r>
      </w:hyperlink>
    </w:p>
    <w:p w14:paraId="5774D3DF" w14:textId="77777777" w:rsidR="00B5426C" w:rsidRDefault="00B5426C" w:rsidP="00B5426C">
      <w:pPr>
        <w:jc w:val="both"/>
        <w:rPr>
          <w:rFonts w:ascii="Arial" w:hAnsi="Arial" w:cs="Arial"/>
          <w:lang w:val="en-US"/>
        </w:rPr>
      </w:pPr>
    </w:p>
    <w:p w14:paraId="37F0F179" w14:textId="77777777" w:rsidR="00B5426C" w:rsidRDefault="00B5426C" w:rsidP="00B5426C">
      <w:pPr>
        <w:jc w:val="both"/>
        <w:rPr>
          <w:rFonts w:ascii="Arial" w:hAnsi="Arial" w:cs="Arial"/>
          <w:lang w:val="de-DE"/>
        </w:rPr>
      </w:pPr>
      <w:r>
        <w:rPr>
          <w:rFonts w:ascii="Arial" w:hAnsi="Arial" w:cs="Arial"/>
          <w:lang w:val="de-DE"/>
        </w:rPr>
        <w:t>Eric SCHEEG</w:t>
      </w:r>
    </w:p>
    <w:p w14:paraId="316C722B" w14:textId="77777777" w:rsidR="00B5426C" w:rsidRPr="00840839" w:rsidRDefault="00B5426C" w:rsidP="00B5426C">
      <w:pPr>
        <w:jc w:val="both"/>
        <w:rPr>
          <w:rFonts w:ascii="Arial" w:hAnsi="Arial" w:cs="Arial"/>
          <w:lang w:val="en-US"/>
        </w:rPr>
      </w:pPr>
      <w:proofErr w:type="spellStart"/>
      <w:r w:rsidRPr="00840839">
        <w:rPr>
          <w:rFonts w:ascii="Arial" w:hAnsi="Arial" w:cs="Arial"/>
          <w:lang w:val="en-US"/>
        </w:rPr>
        <w:t>Tél</w:t>
      </w:r>
      <w:proofErr w:type="spellEnd"/>
      <w:proofErr w:type="gramStart"/>
      <w:r w:rsidRPr="00840839">
        <w:rPr>
          <w:rFonts w:ascii="Arial" w:hAnsi="Arial" w:cs="Arial"/>
          <w:lang w:val="en-US"/>
        </w:rPr>
        <w:t>. :</w:t>
      </w:r>
      <w:proofErr w:type="gramEnd"/>
      <w:r w:rsidRPr="00840839">
        <w:rPr>
          <w:rFonts w:ascii="Arial" w:hAnsi="Arial" w:cs="Arial"/>
          <w:lang w:val="en-US"/>
        </w:rPr>
        <w:t xml:space="preserve"> +</w:t>
      </w:r>
      <w:r w:rsidRPr="00840839">
        <w:rPr>
          <w:rStyle w:val="baec5a81-e4d6-4674-97f3-e9220f0136c1"/>
          <w:rFonts w:ascii="Arial" w:hAnsi="Arial" w:cs="Arial"/>
          <w:color w:val="000000"/>
          <w:lang w:val="en-US"/>
        </w:rPr>
        <w:t xml:space="preserve">33 (0)3 90 55 12 73 </w:t>
      </w:r>
    </w:p>
    <w:p w14:paraId="46FBFC99" w14:textId="7B010AC6" w:rsidR="00B5426C" w:rsidRPr="00840839" w:rsidRDefault="00B5426C" w:rsidP="00840839">
      <w:pPr>
        <w:tabs>
          <w:tab w:val="left" w:pos="284"/>
          <w:tab w:val="left" w:pos="426"/>
          <w:tab w:val="left" w:pos="6237"/>
        </w:tabs>
        <w:jc w:val="both"/>
        <w:rPr>
          <w:rFonts w:ascii="Arial" w:hAnsi="Arial" w:cs="Arial"/>
          <w:lang w:val="en-US"/>
        </w:rPr>
      </w:pPr>
      <w:proofErr w:type="gramStart"/>
      <w:r w:rsidRPr="00840839">
        <w:rPr>
          <w:rFonts w:ascii="Arial" w:hAnsi="Arial" w:cs="Arial"/>
          <w:lang w:val="en-US"/>
        </w:rPr>
        <w:t>E-mail :</w:t>
      </w:r>
      <w:proofErr w:type="gramEnd"/>
      <w:r w:rsidRPr="00840839">
        <w:rPr>
          <w:rFonts w:ascii="Arial" w:hAnsi="Arial" w:cs="Arial"/>
          <w:lang w:val="en-US"/>
        </w:rPr>
        <w:t xml:space="preserve"> </w:t>
      </w:r>
      <w:hyperlink r:id="rId25" w:history="1">
        <w:r w:rsidRPr="00840839">
          <w:rPr>
            <w:rStyle w:val="Lienhypertexte"/>
            <w:rFonts w:cs="Arial"/>
            <w:lang w:val="en-US"/>
          </w:rPr>
          <w:t>e.scheeg@hoffmann-group.com</w:t>
        </w:r>
      </w:hyperlink>
    </w:p>
    <w:sectPr w:rsidR="00B5426C" w:rsidRPr="00840839" w:rsidSect="00B22939">
      <w:footerReference w:type="default" r:id="rId26"/>
      <w:pgSz w:w="11906" w:h="16838"/>
      <w:pgMar w:top="1417" w:right="1841"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50AC8" w14:textId="77777777" w:rsidR="004B2514" w:rsidRDefault="004B2514" w:rsidP="004B2514">
      <w:pPr>
        <w:spacing w:after="0" w:line="240" w:lineRule="auto"/>
      </w:pPr>
      <w:r>
        <w:separator/>
      </w:r>
    </w:p>
  </w:endnote>
  <w:endnote w:type="continuationSeparator" w:id="0">
    <w:p w14:paraId="09E25A90" w14:textId="77777777" w:rsidR="004B2514" w:rsidRDefault="004B2514" w:rsidP="004B2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2263446"/>
      <w:docPartObj>
        <w:docPartGallery w:val="Page Numbers (Bottom of Page)"/>
        <w:docPartUnique/>
      </w:docPartObj>
    </w:sdtPr>
    <w:sdtEndPr/>
    <w:sdtContent>
      <w:p w14:paraId="299484C1" w14:textId="70899B64" w:rsidR="004B2514" w:rsidRDefault="004B2514" w:rsidP="00B22939">
        <w:pPr>
          <w:pStyle w:val="Pieddepage"/>
          <w:ind w:right="-2977"/>
          <w:jc w:val="right"/>
        </w:pPr>
        <w:r>
          <w:fldChar w:fldCharType="begin"/>
        </w:r>
        <w:r>
          <w:instrText>PAGE   \* MERGEFORMAT</w:instrText>
        </w:r>
        <w:r>
          <w:fldChar w:fldCharType="separate"/>
        </w:r>
        <w:r>
          <w:t>2</w:t>
        </w:r>
        <w:r>
          <w:fldChar w:fldCharType="end"/>
        </w:r>
      </w:p>
    </w:sdtContent>
  </w:sdt>
  <w:p w14:paraId="2808A999" w14:textId="77777777" w:rsidR="004B2514" w:rsidRDefault="004B251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6F5ED" w14:textId="77777777" w:rsidR="004B2514" w:rsidRDefault="004B2514" w:rsidP="004B2514">
      <w:pPr>
        <w:spacing w:after="0" w:line="240" w:lineRule="auto"/>
      </w:pPr>
      <w:r>
        <w:separator/>
      </w:r>
    </w:p>
  </w:footnote>
  <w:footnote w:type="continuationSeparator" w:id="0">
    <w:p w14:paraId="54E46748" w14:textId="77777777" w:rsidR="004B2514" w:rsidRDefault="004B2514" w:rsidP="004B25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3A25"/>
    <w:multiLevelType w:val="hybridMultilevel"/>
    <w:tmpl w:val="894CBD58"/>
    <w:lvl w:ilvl="0" w:tplc="0658D5EE">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804877"/>
    <w:multiLevelType w:val="hybridMultilevel"/>
    <w:tmpl w:val="6200FE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72EA3DCA"/>
    <w:multiLevelType w:val="hybridMultilevel"/>
    <w:tmpl w:val="5C603762"/>
    <w:lvl w:ilvl="0" w:tplc="92462FDC">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7C813AD"/>
    <w:multiLevelType w:val="hybridMultilevel"/>
    <w:tmpl w:val="DF80CB58"/>
    <w:lvl w:ilvl="0" w:tplc="DE807F8E">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82242672">
    <w:abstractNumId w:val="1"/>
  </w:num>
  <w:num w:numId="2" w16cid:durableId="467020025">
    <w:abstractNumId w:val="0"/>
  </w:num>
  <w:num w:numId="3" w16cid:durableId="1654866317">
    <w:abstractNumId w:val="2"/>
  </w:num>
  <w:num w:numId="4" w16cid:durableId="13904221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439"/>
    <w:rsid w:val="00000757"/>
    <w:rsid w:val="00004853"/>
    <w:rsid w:val="00005127"/>
    <w:rsid w:val="000054A7"/>
    <w:rsid w:val="00005EDF"/>
    <w:rsid w:val="00007133"/>
    <w:rsid w:val="00010180"/>
    <w:rsid w:val="000113CB"/>
    <w:rsid w:val="0001222D"/>
    <w:rsid w:val="000146BE"/>
    <w:rsid w:val="0001553F"/>
    <w:rsid w:val="00016551"/>
    <w:rsid w:val="000171CD"/>
    <w:rsid w:val="00022D11"/>
    <w:rsid w:val="00025C68"/>
    <w:rsid w:val="0002656A"/>
    <w:rsid w:val="000308DA"/>
    <w:rsid w:val="00032867"/>
    <w:rsid w:val="00032E6D"/>
    <w:rsid w:val="00034B98"/>
    <w:rsid w:val="000359CC"/>
    <w:rsid w:val="0003729A"/>
    <w:rsid w:val="00040F59"/>
    <w:rsid w:val="0005118B"/>
    <w:rsid w:val="0005152B"/>
    <w:rsid w:val="00051BFE"/>
    <w:rsid w:val="00052D0F"/>
    <w:rsid w:val="0005627C"/>
    <w:rsid w:val="0006051C"/>
    <w:rsid w:val="00060D32"/>
    <w:rsid w:val="000622EB"/>
    <w:rsid w:val="00063197"/>
    <w:rsid w:val="0006416E"/>
    <w:rsid w:val="00065ACD"/>
    <w:rsid w:val="000714E9"/>
    <w:rsid w:val="00072973"/>
    <w:rsid w:val="000748B4"/>
    <w:rsid w:val="00074E58"/>
    <w:rsid w:val="00076844"/>
    <w:rsid w:val="0007684A"/>
    <w:rsid w:val="00077122"/>
    <w:rsid w:val="00081575"/>
    <w:rsid w:val="0008358D"/>
    <w:rsid w:val="00083B91"/>
    <w:rsid w:val="00085B34"/>
    <w:rsid w:val="00087048"/>
    <w:rsid w:val="00093250"/>
    <w:rsid w:val="000946BE"/>
    <w:rsid w:val="000954C7"/>
    <w:rsid w:val="000A0D9C"/>
    <w:rsid w:val="000A0F5D"/>
    <w:rsid w:val="000A159A"/>
    <w:rsid w:val="000A2B63"/>
    <w:rsid w:val="000A375E"/>
    <w:rsid w:val="000A396E"/>
    <w:rsid w:val="000A3B39"/>
    <w:rsid w:val="000A4367"/>
    <w:rsid w:val="000A51B6"/>
    <w:rsid w:val="000A7783"/>
    <w:rsid w:val="000B3417"/>
    <w:rsid w:val="000B3C2E"/>
    <w:rsid w:val="000B48B9"/>
    <w:rsid w:val="000B50E0"/>
    <w:rsid w:val="000B5197"/>
    <w:rsid w:val="000B62E6"/>
    <w:rsid w:val="000C159C"/>
    <w:rsid w:val="000C2B27"/>
    <w:rsid w:val="000C3378"/>
    <w:rsid w:val="000C3B6A"/>
    <w:rsid w:val="000C5A4E"/>
    <w:rsid w:val="000C5A7A"/>
    <w:rsid w:val="000C67F5"/>
    <w:rsid w:val="000D0579"/>
    <w:rsid w:val="000D1196"/>
    <w:rsid w:val="000D1B1B"/>
    <w:rsid w:val="000D24E8"/>
    <w:rsid w:val="000D4049"/>
    <w:rsid w:val="000D47E3"/>
    <w:rsid w:val="000D5186"/>
    <w:rsid w:val="000D78E2"/>
    <w:rsid w:val="000D7BEB"/>
    <w:rsid w:val="000D7EBF"/>
    <w:rsid w:val="000E4B98"/>
    <w:rsid w:val="000E6C44"/>
    <w:rsid w:val="000E7F9C"/>
    <w:rsid w:val="000F0B80"/>
    <w:rsid w:val="000F232D"/>
    <w:rsid w:val="000F2A70"/>
    <w:rsid w:val="000F42C4"/>
    <w:rsid w:val="000F5514"/>
    <w:rsid w:val="000F6EED"/>
    <w:rsid w:val="00101713"/>
    <w:rsid w:val="001019CB"/>
    <w:rsid w:val="00107DF9"/>
    <w:rsid w:val="00110F74"/>
    <w:rsid w:val="00116642"/>
    <w:rsid w:val="00116C97"/>
    <w:rsid w:val="00123FD1"/>
    <w:rsid w:val="0012494B"/>
    <w:rsid w:val="00124DED"/>
    <w:rsid w:val="00127D9F"/>
    <w:rsid w:val="001314B4"/>
    <w:rsid w:val="001318C8"/>
    <w:rsid w:val="00132529"/>
    <w:rsid w:val="00133039"/>
    <w:rsid w:val="001334EB"/>
    <w:rsid w:val="0013486A"/>
    <w:rsid w:val="00134A09"/>
    <w:rsid w:val="0013527C"/>
    <w:rsid w:val="00136C76"/>
    <w:rsid w:val="001412D2"/>
    <w:rsid w:val="001428E3"/>
    <w:rsid w:val="00143B1A"/>
    <w:rsid w:val="00143D0C"/>
    <w:rsid w:val="00150E5C"/>
    <w:rsid w:val="00150EEC"/>
    <w:rsid w:val="001533FB"/>
    <w:rsid w:val="001537D5"/>
    <w:rsid w:val="0015381E"/>
    <w:rsid w:val="00157850"/>
    <w:rsid w:val="00157BD0"/>
    <w:rsid w:val="00160DD7"/>
    <w:rsid w:val="00160F11"/>
    <w:rsid w:val="00164564"/>
    <w:rsid w:val="00164EEA"/>
    <w:rsid w:val="00165484"/>
    <w:rsid w:val="00167A19"/>
    <w:rsid w:val="001739D8"/>
    <w:rsid w:val="00174F61"/>
    <w:rsid w:val="00175BFB"/>
    <w:rsid w:val="0017617A"/>
    <w:rsid w:val="00181823"/>
    <w:rsid w:val="00181DAB"/>
    <w:rsid w:val="001833F5"/>
    <w:rsid w:val="00183484"/>
    <w:rsid w:val="00190A8A"/>
    <w:rsid w:val="00191C0B"/>
    <w:rsid w:val="00194089"/>
    <w:rsid w:val="0019465B"/>
    <w:rsid w:val="00195012"/>
    <w:rsid w:val="00196727"/>
    <w:rsid w:val="0019708A"/>
    <w:rsid w:val="001A247D"/>
    <w:rsid w:val="001A2947"/>
    <w:rsid w:val="001A2BFB"/>
    <w:rsid w:val="001A5828"/>
    <w:rsid w:val="001A6839"/>
    <w:rsid w:val="001A7ADB"/>
    <w:rsid w:val="001B00CB"/>
    <w:rsid w:val="001B2F60"/>
    <w:rsid w:val="001B5AB2"/>
    <w:rsid w:val="001B5ED5"/>
    <w:rsid w:val="001B68D9"/>
    <w:rsid w:val="001B6F20"/>
    <w:rsid w:val="001B7AB4"/>
    <w:rsid w:val="001C129C"/>
    <w:rsid w:val="001C1366"/>
    <w:rsid w:val="001C4F16"/>
    <w:rsid w:val="001D1686"/>
    <w:rsid w:val="001D1B46"/>
    <w:rsid w:val="001D5297"/>
    <w:rsid w:val="001D56C4"/>
    <w:rsid w:val="001E3CF7"/>
    <w:rsid w:val="001E4BFE"/>
    <w:rsid w:val="001E4C40"/>
    <w:rsid w:val="001E5571"/>
    <w:rsid w:val="001E6101"/>
    <w:rsid w:val="001E621B"/>
    <w:rsid w:val="001E6CC4"/>
    <w:rsid w:val="001F33CB"/>
    <w:rsid w:val="001F580C"/>
    <w:rsid w:val="001F5BFD"/>
    <w:rsid w:val="001F683C"/>
    <w:rsid w:val="001F708B"/>
    <w:rsid w:val="00200A55"/>
    <w:rsid w:val="00201314"/>
    <w:rsid w:val="0020294F"/>
    <w:rsid w:val="0020304A"/>
    <w:rsid w:val="002059D0"/>
    <w:rsid w:val="00206A2E"/>
    <w:rsid w:val="002079B5"/>
    <w:rsid w:val="0021171B"/>
    <w:rsid w:val="00220A95"/>
    <w:rsid w:val="00220AFC"/>
    <w:rsid w:val="002219CB"/>
    <w:rsid w:val="002224A2"/>
    <w:rsid w:val="00224BDB"/>
    <w:rsid w:val="00227D70"/>
    <w:rsid w:val="002316AB"/>
    <w:rsid w:val="00231726"/>
    <w:rsid w:val="00232489"/>
    <w:rsid w:val="00237096"/>
    <w:rsid w:val="00241836"/>
    <w:rsid w:val="00243ED3"/>
    <w:rsid w:val="00245BCB"/>
    <w:rsid w:val="0024631B"/>
    <w:rsid w:val="00247EBF"/>
    <w:rsid w:val="002501A6"/>
    <w:rsid w:val="00254A43"/>
    <w:rsid w:val="00254F1B"/>
    <w:rsid w:val="0025743F"/>
    <w:rsid w:val="00261DB1"/>
    <w:rsid w:val="002663F6"/>
    <w:rsid w:val="00267507"/>
    <w:rsid w:val="00272C28"/>
    <w:rsid w:val="00274A48"/>
    <w:rsid w:val="002768E2"/>
    <w:rsid w:val="002775F8"/>
    <w:rsid w:val="002802E3"/>
    <w:rsid w:val="002807BD"/>
    <w:rsid w:val="00280812"/>
    <w:rsid w:val="00280AA1"/>
    <w:rsid w:val="00281AB8"/>
    <w:rsid w:val="00285101"/>
    <w:rsid w:val="00285188"/>
    <w:rsid w:val="002866E5"/>
    <w:rsid w:val="00291316"/>
    <w:rsid w:val="002937B3"/>
    <w:rsid w:val="00293A37"/>
    <w:rsid w:val="00294676"/>
    <w:rsid w:val="002948A1"/>
    <w:rsid w:val="002965A7"/>
    <w:rsid w:val="00296D61"/>
    <w:rsid w:val="002A0B77"/>
    <w:rsid w:val="002A0DA4"/>
    <w:rsid w:val="002A2495"/>
    <w:rsid w:val="002A35E4"/>
    <w:rsid w:val="002A3B68"/>
    <w:rsid w:val="002A465A"/>
    <w:rsid w:val="002A7244"/>
    <w:rsid w:val="002A7CAB"/>
    <w:rsid w:val="002B01DE"/>
    <w:rsid w:val="002B1B88"/>
    <w:rsid w:val="002B3173"/>
    <w:rsid w:val="002B4513"/>
    <w:rsid w:val="002B4AAD"/>
    <w:rsid w:val="002B50D1"/>
    <w:rsid w:val="002B6662"/>
    <w:rsid w:val="002B6669"/>
    <w:rsid w:val="002B7063"/>
    <w:rsid w:val="002B75AF"/>
    <w:rsid w:val="002C2A99"/>
    <w:rsid w:val="002C3334"/>
    <w:rsid w:val="002C49C9"/>
    <w:rsid w:val="002C64D2"/>
    <w:rsid w:val="002C6FF8"/>
    <w:rsid w:val="002D1901"/>
    <w:rsid w:val="002D4B6B"/>
    <w:rsid w:val="002D7AA3"/>
    <w:rsid w:val="002E08A2"/>
    <w:rsid w:val="002E2E10"/>
    <w:rsid w:val="002E4ED5"/>
    <w:rsid w:val="002F0C06"/>
    <w:rsid w:val="002F1043"/>
    <w:rsid w:val="002F110C"/>
    <w:rsid w:val="002F21C7"/>
    <w:rsid w:val="002F55C0"/>
    <w:rsid w:val="002F6756"/>
    <w:rsid w:val="003008CD"/>
    <w:rsid w:val="0030261F"/>
    <w:rsid w:val="00302887"/>
    <w:rsid w:val="00302B58"/>
    <w:rsid w:val="0030485A"/>
    <w:rsid w:val="003054F6"/>
    <w:rsid w:val="00307220"/>
    <w:rsid w:val="00307FB2"/>
    <w:rsid w:val="003114FE"/>
    <w:rsid w:val="003137C7"/>
    <w:rsid w:val="00313992"/>
    <w:rsid w:val="0031494F"/>
    <w:rsid w:val="00314AA8"/>
    <w:rsid w:val="003160BB"/>
    <w:rsid w:val="00321031"/>
    <w:rsid w:val="0032338C"/>
    <w:rsid w:val="0032377B"/>
    <w:rsid w:val="00326324"/>
    <w:rsid w:val="0033174A"/>
    <w:rsid w:val="00331848"/>
    <w:rsid w:val="00335342"/>
    <w:rsid w:val="00335DE9"/>
    <w:rsid w:val="00336C75"/>
    <w:rsid w:val="00336EA5"/>
    <w:rsid w:val="00343399"/>
    <w:rsid w:val="0034602E"/>
    <w:rsid w:val="0034662A"/>
    <w:rsid w:val="00350BFB"/>
    <w:rsid w:val="003528DC"/>
    <w:rsid w:val="00353CA0"/>
    <w:rsid w:val="00356099"/>
    <w:rsid w:val="003569DC"/>
    <w:rsid w:val="00360D67"/>
    <w:rsid w:val="00361CA4"/>
    <w:rsid w:val="00370A40"/>
    <w:rsid w:val="0037178A"/>
    <w:rsid w:val="00372617"/>
    <w:rsid w:val="00372EBC"/>
    <w:rsid w:val="00373E24"/>
    <w:rsid w:val="00374AB2"/>
    <w:rsid w:val="003766AF"/>
    <w:rsid w:val="0038107B"/>
    <w:rsid w:val="00381315"/>
    <w:rsid w:val="00381BB6"/>
    <w:rsid w:val="00385919"/>
    <w:rsid w:val="00390479"/>
    <w:rsid w:val="003946AF"/>
    <w:rsid w:val="00395476"/>
    <w:rsid w:val="00396FB8"/>
    <w:rsid w:val="003975B1"/>
    <w:rsid w:val="003979C2"/>
    <w:rsid w:val="003A4CD5"/>
    <w:rsid w:val="003B0B1C"/>
    <w:rsid w:val="003B1B97"/>
    <w:rsid w:val="003B5495"/>
    <w:rsid w:val="003B7875"/>
    <w:rsid w:val="003C26AE"/>
    <w:rsid w:val="003C33E0"/>
    <w:rsid w:val="003C3A17"/>
    <w:rsid w:val="003C64E3"/>
    <w:rsid w:val="003C6D2F"/>
    <w:rsid w:val="003D0EB8"/>
    <w:rsid w:val="003D24F8"/>
    <w:rsid w:val="003D33D8"/>
    <w:rsid w:val="003D34A8"/>
    <w:rsid w:val="003E145E"/>
    <w:rsid w:val="003E2F57"/>
    <w:rsid w:val="003E4186"/>
    <w:rsid w:val="003E701A"/>
    <w:rsid w:val="003E7DD9"/>
    <w:rsid w:val="003F0196"/>
    <w:rsid w:val="003F1517"/>
    <w:rsid w:val="003F2114"/>
    <w:rsid w:val="003F238F"/>
    <w:rsid w:val="003F4F0C"/>
    <w:rsid w:val="003F5ECA"/>
    <w:rsid w:val="003F5F61"/>
    <w:rsid w:val="003F719A"/>
    <w:rsid w:val="00400260"/>
    <w:rsid w:val="004016B3"/>
    <w:rsid w:val="00402D94"/>
    <w:rsid w:val="004055A6"/>
    <w:rsid w:val="00405702"/>
    <w:rsid w:val="00407712"/>
    <w:rsid w:val="00410533"/>
    <w:rsid w:val="00411DDD"/>
    <w:rsid w:val="00414172"/>
    <w:rsid w:val="00416FF6"/>
    <w:rsid w:val="004242AE"/>
    <w:rsid w:val="00424721"/>
    <w:rsid w:val="0042488C"/>
    <w:rsid w:val="004264B3"/>
    <w:rsid w:val="00426DB0"/>
    <w:rsid w:val="00427A20"/>
    <w:rsid w:val="0043699A"/>
    <w:rsid w:val="00436FCD"/>
    <w:rsid w:val="00437465"/>
    <w:rsid w:val="00437499"/>
    <w:rsid w:val="00437CAB"/>
    <w:rsid w:val="00442B45"/>
    <w:rsid w:val="00442D1C"/>
    <w:rsid w:val="004433B9"/>
    <w:rsid w:val="00444801"/>
    <w:rsid w:val="00447689"/>
    <w:rsid w:val="00450AA1"/>
    <w:rsid w:val="004513BF"/>
    <w:rsid w:val="00451972"/>
    <w:rsid w:val="0045356A"/>
    <w:rsid w:val="004538F7"/>
    <w:rsid w:val="00453913"/>
    <w:rsid w:val="00454F09"/>
    <w:rsid w:val="00455975"/>
    <w:rsid w:val="00457320"/>
    <w:rsid w:val="004601D0"/>
    <w:rsid w:val="00460C7E"/>
    <w:rsid w:val="004624C5"/>
    <w:rsid w:val="00466AD4"/>
    <w:rsid w:val="00466FEB"/>
    <w:rsid w:val="00467AFA"/>
    <w:rsid w:val="00467F69"/>
    <w:rsid w:val="00471BC7"/>
    <w:rsid w:val="00471E56"/>
    <w:rsid w:val="00473495"/>
    <w:rsid w:val="0047367D"/>
    <w:rsid w:val="00474F47"/>
    <w:rsid w:val="0047540E"/>
    <w:rsid w:val="00475C55"/>
    <w:rsid w:val="00476001"/>
    <w:rsid w:val="0048056A"/>
    <w:rsid w:val="004825A1"/>
    <w:rsid w:val="00485218"/>
    <w:rsid w:val="00485260"/>
    <w:rsid w:val="00487C67"/>
    <w:rsid w:val="00487C9D"/>
    <w:rsid w:val="0049296A"/>
    <w:rsid w:val="00493036"/>
    <w:rsid w:val="00495238"/>
    <w:rsid w:val="004970DE"/>
    <w:rsid w:val="004977AD"/>
    <w:rsid w:val="004A2F45"/>
    <w:rsid w:val="004A30F5"/>
    <w:rsid w:val="004A57EC"/>
    <w:rsid w:val="004A5A22"/>
    <w:rsid w:val="004A5A27"/>
    <w:rsid w:val="004A60A2"/>
    <w:rsid w:val="004A65EF"/>
    <w:rsid w:val="004A77E2"/>
    <w:rsid w:val="004B13F4"/>
    <w:rsid w:val="004B2414"/>
    <w:rsid w:val="004B2514"/>
    <w:rsid w:val="004B5A75"/>
    <w:rsid w:val="004B72D7"/>
    <w:rsid w:val="004B74EA"/>
    <w:rsid w:val="004C28DA"/>
    <w:rsid w:val="004C4745"/>
    <w:rsid w:val="004C6838"/>
    <w:rsid w:val="004D19D6"/>
    <w:rsid w:val="004D24E0"/>
    <w:rsid w:val="004D3439"/>
    <w:rsid w:val="004D5781"/>
    <w:rsid w:val="004D7A43"/>
    <w:rsid w:val="004E0267"/>
    <w:rsid w:val="004E03F9"/>
    <w:rsid w:val="004E24AA"/>
    <w:rsid w:val="004F4A90"/>
    <w:rsid w:val="004F57D3"/>
    <w:rsid w:val="004F77D6"/>
    <w:rsid w:val="00501353"/>
    <w:rsid w:val="00501E5E"/>
    <w:rsid w:val="00502C5B"/>
    <w:rsid w:val="00503FAB"/>
    <w:rsid w:val="00504CB4"/>
    <w:rsid w:val="00505437"/>
    <w:rsid w:val="005059AA"/>
    <w:rsid w:val="00505D71"/>
    <w:rsid w:val="00506F95"/>
    <w:rsid w:val="0051069B"/>
    <w:rsid w:val="00514920"/>
    <w:rsid w:val="00520D3F"/>
    <w:rsid w:val="005211EF"/>
    <w:rsid w:val="005254C9"/>
    <w:rsid w:val="00526331"/>
    <w:rsid w:val="005268BE"/>
    <w:rsid w:val="0052690E"/>
    <w:rsid w:val="00527375"/>
    <w:rsid w:val="00530D90"/>
    <w:rsid w:val="005316D1"/>
    <w:rsid w:val="005321FA"/>
    <w:rsid w:val="00532BCF"/>
    <w:rsid w:val="00533042"/>
    <w:rsid w:val="005336C9"/>
    <w:rsid w:val="005379C5"/>
    <w:rsid w:val="00542424"/>
    <w:rsid w:val="00542A5F"/>
    <w:rsid w:val="00544F3B"/>
    <w:rsid w:val="0054538F"/>
    <w:rsid w:val="0054720B"/>
    <w:rsid w:val="005472DB"/>
    <w:rsid w:val="00547E86"/>
    <w:rsid w:val="00550AC7"/>
    <w:rsid w:val="00550E17"/>
    <w:rsid w:val="005512FC"/>
    <w:rsid w:val="005543F1"/>
    <w:rsid w:val="00554D87"/>
    <w:rsid w:val="0055520F"/>
    <w:rsid w:val="00555B66"/>
    <w:rsid w:val="005574F1"/>
    <w:rsid w:val="005604AF"/>
    <w:rsid w:val="005616AC"/>
    <w:rsid w:val="00561825"/>
    <w:rsid w:val="00561F0B"/>
    <w:rsid w:val="00562C48"/>
    <w:rsid w:val="0056358E"/>
    <w:rsid w:val="00563E57"/>
    <w:rsid w:val="005667CD"/>
    <w:rsid w:val="00567577"/>
    <w:rsid w:val="0056790F"/>
    <w:rsid w:val="00567F67"/>
    <w:rsid w:val="005704E2"/>
    <w:rsid w:val="00570542"/>
    <w:rsid w:val="005706DE"/>
    <w:rsid w:val="0057081D"/>
    <w:rsid w:val="0057134A"/>
    <w:rsid w:val="005728A7"/>
    <w:rsid w:val="005772B3"/>
    <w:rsid w:val="005779B6"/>
    <w:rsid w:val="00577A81"/>
    <w:rsid w:val="00580735"/>
    <w:rsid w:val="00580D1A"/>
    <w:rsid w:val="00581179"/>
    <w:rsid w:val="00581956"/>
    <w:rsid w:val="00582626"/>
    <w:rsid w:val="00583B09"/>
    <w:rsid w:val="0058421D"/>
    <w:rsid w:val="005870B3"/>
    <w:rsid w:val="005901FE"/>
    <w:rsid w:val="0059138D"/>
    <w:rsid w:val="00597B2F"/>
    <w:rsid w:val="005A0E7D"/>
    <w:rsid w:val="005A160F"/>
    <w:rsid w:val="005A4488"/>
    <w:rsid w:val="005A49D0"/>
    <w:rsid w:val="005A597C"/>
    <w:rsid w:val="005A617D"/>
    <w:rsid w:val="005A69F0"/>
    <w:rsid w:val="005B1C4E"/>
    <w:rsid w:val="005B36F3"/>
    <w:rsid w:val="005B4246"/>
    <w:rsid w:val="005B66FC"/>
    <w:rsid w:val="005B7B4C"/>
    <w:rsid w:val="005C25E8"/>
    <w:rsid w:val="005C2D9C"/>
    <w:rsid w:val="005C5D63"/>
    <w:rsid w:val="005D1DA6"/>
    <w:rsid w:val="005D5083"/>
    <w:rsid w:val="005D6868"/>
    <w:rsid w:val="005E0783"/>
    <w:rsid w:val="005E14FC"/>
    <w:rsid w:val="005E50BA"/>
    <w:rsid w:val="005E6039"/>
    <w:rsid w:val="005F061E"/>
    <w:rsid w:val="005F3CBE"/>
    <w:rsid w:val="005F3E52"/>
    <w:rsid w:val="005F526D"/>
    <w:rsid w:val="00603EC4"/>
    <w:rsid w:val="00605F71"/>
    <w:rsid w:val="006118D6"/>
    <w:rsid w:val="00611AD0"/>
    <w:rsid w:val="00612EFA"/>
    <w:rsid w:val="00613597"/>
    <w:rsid w:val="00620A5F"/>
    <w:rsid w:val="00620D66"/>
    <w:rsid w:val="006211AA"/>
    <w:rsid w:val="0062242B"/>
    <w:rsid w:val="006307EF"/>
    <w:rsid w:val="00641A2D"/>
    <w:rsid w:val="00642192"/>
    <w:rsid w:val="006424FE"/>
    <w:rsid w:val="0064525A"/>
    <w:rsid w:val="00645795"/>
    <w:rsid w:val="00645FA6"/>
    <w:rsid w:val="006474F9"/>
    <w:rsid w:val="00647904"/>
    <w:rsid w:val="00647D7F"/>
    <w:rsid w:val="0065092D"/>
    <w:rsid w:val="00650D4A"/>
    <w:rsid w:val="006512A7"/>
    <w:rsid w:val="00651424"/>
    <w:rsid w:val="00655CC3"/>
    <w:rsid w:val="00656D46"/>
    <w:rsid w:val="00656F59"/>
    <w:rsid w:val="00657AD4"/>
    <w:rsid w:val="00661B71"/>
    <w:rsid w:val="00661E93"/>
    <w:rsid w:val="00662FC0"/>
    <w:rsid w:val="0066320C"/>
    <w:rsid w:val="0066460B"/>
    <w:rsid w:val="0066512E"/>
    <w:rsid w:val="006661B6"/>
    <w:rsid w:val="00666EDF"/>
    <w:rsid w:val="00667C64"/>
    <w:rsid w:val="006730F7"/>
    <w:rsid w:val="00673911"/>
    <w:rsid w:val="00673AB1"/>
    <w:rsid w:val="006753D3"/>
    <w:rsid w:val="00675D7D"/>
    <w:rsid w:val="00676C2A"/>
    <w:rsid w:val="006803A0"/>
    <w:rsid w:val="00680E1B"/>
    <w:rsid w:val="00682196"/>
    <w:rsid w:val="00683F3A"/>
    <w:rsid w:val="00683FB0"/>
    <w:rsid w:val="00684BA5"/>
    <w:rsid w:val="00685445"/>
    <w:rsid w:val="0068651D"/>
    <w:rsid w:val="006946E1"/>
    <w:rsid w:val="00696B45"/>
    <w:rsid w:val="006A0ADE"/>
    <w:rsid w:val="006A0B8E"/>
    <w:rsid w:val="006B3AA3"/>
    <w:rsid w:val="006B6A6C"/>
    <w:rsid w:val="006C00E0"/>
    <w:rsid w:val="006C0BB4"/>
    <w:rsid w:val="006C1F73"/>
    <w:rsid w:val="006C31C8"/>
    <w:rsid w:val="006C34C6"/>
    <w:rsid w:val="006C4FB5"/>
    <w:rsid w:val="006C5AA7"/>
    <w:rsid w:val="006C6385"/>
    <w:rsid w:val="006C67A8"/>
    <w:rsid w:val="006D2DA5"/>
    <w:rsid w:val="006D3002"/>
    <w:rsid w:val="006D32B8"/>
    <w:rsid w:val="006D51DE"/>
    <w:rsid w:val="006E0E9B"/>
    <w:rsid w:val="006E1077"/>
    <w:rsid w:val="006E17E3"/>
    <w:rsid w:val="006E1B92"/>
    <w:rsid w:val="006E2121"/>
    <w:rsid w:val="006E233B"/>
    <w:rsid w:val="006E65D4"/>
    <w:rsid w:val="006E7C75"/>
    <w:rsid w:val="006F2068"/>
    <w:rsid w:val="006F297B"/>
    <w:rsid w:val="006F3955"/>
    <w:rsid w:val="006F3FFF"/>
    <w:rsid w:val="006F7259"/>
    <w:rsid w:val="00700E18"/>
    <w:rsid w:val="00702D8F"/>
    <w:rsid w:val="00706189"/>
    <w:rsid w:val="007079C5"/>
    <w:rsid w:val="00707C9E"/>
    <w:rsid w:val="00712582"/>
    <w:rsid w:val="00712737"/>
    <w:rsid w:val="00713130"/>
    <w:rsid w:val="00714678"/>
    <w:rsid w:val="00721AB1"/>
    <w:rsid w:val="00722AEF"/>
    <w:rsid w:val="007249F1"/>
    <w:rsid w:val="00732B16"/>
    <w:rsid w:val="007345CE"/>
    <w:rsid w:val="00735539"/>
    <w:rsid w:val="00736811"/>
    <w:rsid w:val="007404CE"/>
    <w:rsid w:val="0074151C"/>
    <w:rsid w:val="007457E8"/>
    <w:rsid w:val="0074798C"/>
    <w:rsid w:val="00751B24"/>
    <w:rsid w:val="00754805"/>
    <w:rsid w:val="007572E3"/>
    <w:rsid w:val="00761169"/>
    <w:rsid w:val="00762A5C"/>
    <w:rsid w:val="0077057E"/>
    <w:rsid w:val="00771365"/>
    <w:rsid w:val="007725DD"/>
    <w:rsid w:val="00774223"/>
    <w:rsid w:val="00775B33"/>
    <w:rsid w:val="00775C2C"/>
    <w:rsid w:val="00777D42"/>
    <w:rsid w:val="0078407F"/>
    <w:rsid w:val="00786E8B"/>
    <w:rsid w:val="007876B1"/>
    <w:rsid w:val="00790518"/>
    <w:rsid w:val="00790AE0"/>
    <w:rsid w:val="00791087"/>
    <w:rsid w:val="00792CD3"/>
    <w:rsid w:val="0079355F"/>
    <w:rsid w:val="0079447C"/>
    <w:rsid w:val="00794484"/>
    <w:rsid w:val="007948A9"/>
    <w:rsid w:val="007A068B"/>
    <w:rsid w:val="007A0F4C"/>
    <w:rsid w:val="007A33C9"/>
    <w:rsid w:val="007A5048"/>
    <w:rsid w:val="007A55AD"/>
    <w:rsid w:val="007A603B"/>
    <w:rsid w:val="007A6B6B"/>
    <w:rsid w:val="007A72A6"/>
    <w:rsid w:val="007B3723"/>
    <w:rsid w:val="007B3948"/>
    <w:rsid w:val="007B460C"/>
    <w:rsid w:val="007B509E"/>
    <w:rsid w:val="007B5BEF"/>
    <w:rsid w:val="007B721D"/>
    <w:rsid w:val="007C0803"/>
    <w:rsid w:val="007C3949"/>
    <w:rsid w:val="007C4E8D"/>
    <w:rsid w:val="007C5ACA"/>
    <w:rsid w:val="007C5B7C"/>
    <w:rsid w:val="007C7E55"/>
    <w:rsid w:val="007D2F4D"/>
    <w:rsid w:val="007D3D0B"/>
    <w:rsid w:val="007D60A9"/>
    <w:rsid w:val="007D7605"/>
    <w:rsid w:val="007E16CB"/>
    <w:rsid w:val="007E2997"/>
    <w:rsid w:val="007E2E92"/>
    <w:rsid w:val="007E5155"/>
    <w:rsid w:val="007F07CF"/>
    <w:rsid w:val="007F4390"/>
    <w:rsid w:val="007F4553"/>
    <w:rsid w:val="007F5839"/>
    <w:rsid w:val="008009FB"/>
    <w:rsid w:val="00801B45"/>
    <w:rsid w:val="00805147"/>
    <w:rsid w:val="00806F8A"/>
    <w:rsid w:val="008125DE"/>
    <w:rsid w:val="00812F59"/>
    <w:rsid w:val="00813D3C"/>
    <w:rsid w:val="00821D81"/>
    <w:rsid w:val="008226E0"/>
    <w:rsid w:val="008243C8"/>
    <w:rsid w:val="008248B8"/>
    <w:rsid w:val="008310A9"/>
    <w:rsid w:val="00834EF9"/>
    <w:rsid w:val="0083689B"/>
    <w:rsid w:val="0083721C"/>
    <w:rsid w:val="0084012B"/>
    <w:rsid w:val="008403D7"/>
    <w:rsid w:val="00840839"/>
    <w:rsid w:val="00842B93"/>
    <w:rsid w:val="008438C5"/>
    <w:rsid w:val="008444BF"/>
    <w:rsid w:val="00846429"/>
    <w:rsid w:val="008477F0"/>
    <w:rsid w:val="00852F21"/>
    <w:rsid w:val="008559E3"/>
    <w:rsid w:val="00866116"/>
    <w:rsid w:val="00866C3F"/>
    <w:rsid w:val="00866DAD"/>
    <w:rsid w:val="0087044C"/>
    <w:rsid w:val="008730EB"/>
    <w:rsid w:val="00874917"/>
    <w:rsid w:val="00874FF3"/>
    <w:rsid w:val="008763DE"/>
    <w:rsid w:val="008766ED"/>
    <w:rsid w:val="00876F00"/>
    <w:rsid w:val="00883B66"/>
    <w:rsid w:val="0088436A"/>
    <w:rsid w:val="00884F52"/>
    <w:rsid w:val="00886CCE"/>
    <w:rsid w:val="0088739A"/>
    <w:rsid w:val="00887CFD"/>
    <w:rsid w:val="008921D4"/>
    <w:rsid w:val="008927D0"/>
    <w:rsid w:val="008959F6"/>
    <w:rsid w:val="00896952"/>
    <w:rsid w:val="008A33AA"/>
    <w:rsid w:val="008A3C7D"/>
    <w:rsid w:val="008A6C51"/>
    <w:rsid w:val="008A767B"/>
    <w:rsid w:val="008B0569"/>
    <w:rsid w:val="008B139E"/>
    <w:rsid w:val="008B7EA7"/>
    <w:rsid w:val="008C05DF"/>
    <w:rsid w:val="008C1964"/>
    <w:rsid w:val="008C3F4E"/>
    <w:rsid w:val="008C4A14"/>
    <w:rsid w:val="008C526D"/>
    <w:rsid w:val="008C590D"/>
    <w:rsid w:val="008C7490"/>
    <w:rsid w:val="008D003C"/>
    <w:rsid w:val="008D056E"/>
    <w:rsid w:val="008D1A94"/>
    <w:rsid w:val="008D28CE"/>
    <w:rsid w:val="008D3161"/>
    <w:rsid w:val="008D3988"/>
    <w:rsid w:val="008D45E8"/>
    <w:rsid w:val="008D504E"/>
    <w:rsid w:val="008D7B80"/>
    <w:rsid w:val="008E21AE"/>
    <w:rsid w:val="008E29D2"/>
    <w:rsid w:val="008E4804"/>
    <w:rsid w:val="008E5123"/>
    <w:rsid w:val="008E5686"/>
    <w:rsid w:val="008F39E5"/>
    <w:rsid w:val="008F523D"/>
    <w:rsid w:val="008F644A"/>
    <w:rsid w:val="008F6D40"/>
    <w:rsid w:val="008F702C"/>
    <w:rsid w:val="00903125"/>
    <w:rsid w:val="00903534"/>
    <w:rsid w:val="0090498B"/>
    <w:rsid w:val="00907C93"/>
    <w:rsid w:val="00911106"/>
    <w:rsid w:val="00915048"/>
    <w:rsid w:val="00917151"/>
    <w:rsid w:val="009174C3"/>
    <w:rsid w:val="0092080A"/>
    <w:rsid w:val="00920C70"/>
    <w:rsid w:val="00921768"/>
    <w:rsid w:val="0092257D"/>
    <w:rsid w:val="0092429F"/>
    <w:rsid w:val="00924A77"/>
    <w:rsid w:val="009252F7"/>
    <w:rsid w:val="00925F12"/>
    <w:rsid w:val="00926C5D"/>
    <w:rsid w:val="0093046E"/>
    <w:rsid w:val="00931A8D"/>
    <w:rsid w:val="00931F90"/>
    <w:rsid w:val="009323D1"/>
    <w:rsid w:val="00933C3D"/>
    <w:rsid w:val="0093644D"/>
    <w:rsid w:val="00940A6C"/>
    <w:rsid w:val="00943BCF"/>
    <w:rsid w:val="00947525"/>
    <w:rsid w:val="00947B88"/>
    <w:rsid w:val="00947F7B"/>
    <w:rsid w:val="00950961"/>
    <w:rsid w:val="00951C11"/>
    <w:rsid w:val="009520C8"/>
    <w:rsid w:val="0095422F"/>
    <w:rsid w:val="00956E46"/>
    <w:rsid w:val="00961E4E"/>
    <w:rsid w:val="00962064"/>
    <w:rsid w:val="009625CB"/>
    <w:rsid w:val="009629B3"/>
    <w:rsid w:val="0096360B"/>
    <w:rsid w:val="0096487E"/>
    <w:rsid w:val="009679D7"/>
    <w:rsid w:val="00970429"/>
    <w:rsid w:val="00974B2F"/>
    <w:rsid w:val="00981483"/>
    <w:rsid w:val="0098446B"/>
    <w:rsid w:val="0098640B"/>
    <w:rsid w:val="00986CD2"/>
    <w:rsid w:val="00991D4C"/>
    <w:rsid w:val="0099382D"/>
    <w:rsid w:val="00994E60"/>
    <w:rsid w:val="00994F5B"/>
    <w:rsid w:val="00997342"/>
    <w:rsid w:val="00997462"/>
    <w:rsid w:val="00997B09"/>
    <w:rsid w:val="009A0D3A"/>
    <w:rsid w:val="009A2B7A"/>
    <w:rsid w:val="009A3344"/>
    <w:rsid w:val="009A5D26"/>
    <w:rsid w:val="009A78F1"/>
    <w:rsid w:val="009B0F8F"/>
    <w:rsid w:val="009B15EB"/>
    <w:rsid w:val="009B2DDF"/>
    <w:rsid w:val="009B344A"/>
    <w:rsid w:val="009C32B7"/>
    <w:rsid w:val="009C69EC"/>
    <w:rsid w:val="009C723C"/>
    <w:rsid w:val="009D4DD7"/>
    <w:rsid w:val="009D7731"/>
    <w:rsid w:val="009E2ADF"/>
    <w:rsid w:val="009E3B09"/>
    <w:rsid w:val="009E4221"/>
    <w:rsid w:val="009E6844"/>
    <w:rsid w:val="009E6CFF"/>
    <w:rsid w:val="009E7725"/>
    <w:rsid w:val="009E77E2"/>
    <w:rsid w:val="009E7C3E"/>
    <w:rsid w:val="009F0D16"/>
    <w:rsid w:val="009F0ED9"/>
    <w:rsid w:val="009F2331"/>
    <w:rsid w:val="009F2E92"/>
    <w:rsid w:val="009F3BD6"/>
    <w:rsid w:val="009F5FD1"/>
    <w:rsid w:val="009F7875"/>
    <w:rsid w:val="009F7949"/>
    <w:rsid w:val="009F7FA0"/>
    <w:rsid w:val="00A03BC2"/>
    <w:rsid w:val="00A11509"/>
    <w:rsid w:val="00A122DE"/>
    <w:rsid w:val="00A12966"/>
    <w:rsid w:val="00A13673"/>
    <w:rsid w:val="00A15236"/>
    <w:rsid w:val="00A152A6"/>
    <w:rsid w:val="00A154A2"/>
    <w:rsid w:val="00A15A36"/>
    <w:rsid w:val="00A15CD1"/>
    <w:rsid w:val="00A16570"/>
    <w:rsid w:val="00A173E7"/>
    <w:rsid w:val="00A20704"/>
    <w:rsid w:val="00A215EB"/>
    <w:rsid w:val="00A2343D"/>
    <w:rsid w:val="00A23842"/>
    <w:rsid w:val="00A26948"/>
    <w:rsid w:val="00A273A7"/>
    <w:rsid w:val="00A277E4"/>
    <w:rsid w:val="00A30BF6"/>
    <w:rsid w:val="00A31F54"/>
    <w:rsid w:val="00A32240"/>
    <w:rsid w:val="00A33923"/>
    <w:rsid w:val="00A33B5F"/>
    <w:rsid w:val="00A33D4F"/>
    <w:rsid w:val="00A36816"/>
    <w:rsid w:val="00A37326"/>
    <w:rsid w:val="00A405E3"/>
    <w:rsid w:val="00A421DD"/>
    <w:rsid w:val="00A42C6A"/>
    <w:rsid w:val="00A434B9"/>
    <w:rsid w:val="00A4459A"/>
    <w:rsid w:val="00A45D81"/>
    <w:rsid w:val="00A519BD"/>
    <w:rsid w:val="00A56FF7"/>
    <w:rsid w:val="00A57027"/>
    <w:rsid w:val="00A613B2"/>
    <w:rsid w:val="00A61808"/>
    <w:rsid w:val="00A6312B"/>
    <w:rsid w:val="00A6342F"/>
    <w:rsid w:val="00A65B2A"/>
    <w:rsid w:val="00A718C3"/>
    <w:rsid w:val="00A734EF"/>
    <w:rsid w:val="00A739B6"/>
    <w:rsid w:val="00A80AA2"/>
    <w:rsid w:val="00A840A5"/>
    <w:rsid w:val="00A85796"/>
    <w:rsid w:val="00A87C2E"/>
    <w:rsid w:val="00A90735"/>
    <w:rsid w:val="00A90B3E"/>
    <w:rsid w:val="00A91061"/>
    <w:rsid w:val="00A92548"/>
    <w:rsid w:val="00A94762"/>
    <w:rsid w:val="00A95C53"/>
    <w:rsid w:val="00A9618A"/>
    <w:rsid w:val="00AA1396"/>
    <w:rsid w:val="00AA2095"/>
    <w:rsid w:val="00AA2928"/>
    <w:rsid w:val="00AA2CB6"/>
    <w:rsid w:val="00AA5914"/>
    <w:rsid w:val="00AA59BC"/>
    <w:rsid w:val="00AB08F6"/>
    <w:rsid w:val="00AB0C03"/>
    <w:rsid w:val="00AB1DAB"/>
    <w:rsid w:val="00AB46F3"/>
    <w:rsid w:val="00AB53C5"/>
    <w:rsid w:val="00AB716E"/>
    <w:rsid w:val="00AC0A36"/>
    <w:rsid w:val="00AC2BFF"/>
    <w:rsid w:val="00AC2CAE"/>
    <w:rsid w:val="00AC3690"/>
    <w:rsid w:val="00AC3A34"/>
    <w:rsid w:val="00AC5F66"/>
    <w:rsid w:val="00AC62A9"/>
    <w:rsid w:val="00AC62E7"/>
    <w:rsid w:val="00AC732A"/>
    <w:rsid w:val="00AD0956"/>
    <w:rsid w:val="00AD0CC8"/>
    <w:rsid w:val="00AD2118"/>
    <w:rsid w:val="00AD2577"/>
    <w:rsid w:val="00AD36AC"/>
    <w:rsid w:val="00AD4E77"/>
    <w:rsid w:val="00AD51DD"/>
    <w:rsid w:val="00AD550C"/>
    <w:rsid w:val="00AD5752"/>
    <w:rsid w:val="00AE20F1"/>
    <w:rsid w:val="00AE314A"/>
    <w:rsid w:val="00AE5FC0"/>
    <w:rsid w:val="00AF11A1"/>
    <w:rsid w:val="00AF65DA"/>
    <w:rsid w:val="00AF6A84"/>
    <w:rsid w:val="00AF7AF5"/>
    <w:rsid w:val="00B001A3"/>
    <w:rsid w:val="00B00FCB"/>
    <w:rsid w:val="00B01FBD"/>
    <w:rsid w:val="00B03170"/>
    <w:rsid w:val="00B10D5A"/>
    <w:rsid w:val="00B10FE7"/>
    <w:rsid w:val="00B1250E"/>
    <w:rsid w:val="00B12D46"/>
    <w:rsid w:val="00B14A69"/>
    <w:rsid w:val="00B153BB"/>
    <w:rsid w:val="00B1794E"/>
    <w:rsid w:val="00B17A5B"/>
    <w:rsid w:val="00B17C86"/>
    <w:rsid w:val="00B21006"/>
    <w:rsid w:val="00B2101B"/>
    <w:rsid w:val="00B22939"/>
    <w:rsid w:val="00B2408F"/>
    <w:rsid w:val="00B26909"/>
    <w:rsid w:val="00B26A77"/>
    <w:rsid w:val="00B26EE0"/>
    <w:rsid w:val="00B27884"/>
    <w:rsid w:val="00B30A0F"/>
    <w:rsid w:val="00B3600D"/>
    <w:rsid w:val="00B36305"/>
    <w:rsid w:val="00B37DA0"/>
    <w:rsid w:val="00B40DF9"/>
    <w:rsid w:val="00B43A55"/>
    <w:rsid w:val="00B43B97"/>
    <w:rsid w:val="00B4648F"/>
    <w:rsid w:val="00B5004D"/>
    <w:rsid w:val="00B52446"/>
    <w:rsid w:val="00B53D60"/>
    <w:rsid w:val="00B5426C"/>
    <w:rsid w:val="00B57085"/>
    <w:rsid w:val="00B57267"/>
    <w:rsid w:val="00B604A5"/>
    <w:rsid w:val="00B6147A"/>
    <w:rsid w:val="00B65AB2"/>
    <w:rsid w:val="00B65FBD"/>
    <w:rsid w:val="00B715D0"/>
    <w:rsid w:val="00B720CB"/>
    <w:rsid w:val="00B800DF"/>
    <w:rsid w:val="00B806E1"/>
    <w:rsid w:val="00B823FF"/>
    <w:rsid w:val="00B824FB"/>
    <w:rsid w:val="00B83CA4"/>
    <w:rsid w:val="00B84FB3"/>
    <w:rsid w:val="00B853B8"/>
    <w:rsid w:val="00B86866"/>
    <w:rsid w:val="00B869DB"/>
    <w:rsid w:val="00B90448"/>
    <w:rsid w:val="00B90EF5"/>
    <w:rsid w:val="00B92A07"/>
    <w:rsid w:val="00B96877"/>
    <w:rsid w:val="00BA6C72"/>
    <w:rsid w:val="00BB0DDD"/>
    <w:rsid w:val="00BB33E5"/>
    <w:rsid w:val="00BB4AFA"/>
    <w:rsid w:val="00BB5AB2"/>
    <w:rsid w:val="00BB6419"/>
    <w:rsid w:val="00BC26FC"/>
    <w:rsid w:val="00BC2862"/>
    <w:rsid w:val="00BC41BA"/>
    <w:rsid w:val="00BC595C"/>
    <w:rsid w:val="00BC5987"/>
    <w:rsid w:val="00BC5F90"/>
    <w:rsid w:val="00BC670C"/>
    <w:rsid w:val="00BC6A10"/>
    <w:rsid w:val="00BD0B03"/>
    <w:rsid w:val="00BD1347"/>
    <w:rsid w:val="00BD271A"/>
    <w:rsid w:val="00BD3A65"/>
    <w:rsid w:val="00BE13B1"/>
    <w:rsid w:val="00BE1B84"/>
    <w:rsid w:val="00BE1ECD"/>
    <w:rsid w:val="00BE383B"/>
    <w:rsid w:val="00BE51CE"/>
    <w:rsid w:val="00BE6906"/>
    <w:rsid w:val="00BE77D0"/>
    <w:rsid w:val="00BF22DA"/>
    <w:rsid w:val="00BF2F61"/>
    <w:rsid w:val="00BF5A4B"/>
    <w:rsid w:val="00BF6C6D"/>
    <w:rsid w:val="00BF78EC"/>
    <w:rsid w:val="00C006DD"/>
    <w:rsid w:val="00C03BF4"/>
    <w:rsid w:val="00C0442D"/>
    <w:rsid w:val="00C05EA6"/>
    <w:rsid w:val="00C05F4A"/>
    <w:rsid w:val="00C06365"/>
    <w:rsid w:val="00C10FF8"/>
    <w:rsid w:val="00C11C6D"/>
    <w:rsid w:val="00C1248B"/>
    <w:rsid w:val="00C129F5"/>
    <w:rsid w:val="00C13D3F"/>
    <w:rsid w:val="00C14071"/>
    <w:rsid w:val="00C142E3"/>
    <w:rsid w:val="00C14904"/>
    <w:rsid w:val="00C17E7A"/>
    <w:rsid w:val="00C20532"/>
    <w:rsid w:val="00C208DE"/>
    <w:rsid w:val="00C21DA9"/>
    <w:rsid w:val="00C2219D"/>
    <w:rsid w:val="00C225FE"/>
    <w:rsid w:val="00C237DA"/>
    <w:rsid w:val="00C25774"/>
    <w:rsid w:val="00C25CBF"/>
    <w:rsid w:val="00C26308"/>
    <w:rsid w:val="00C31262"/>
    <w:rsid w:val="00C3148B"/>
    <w:rsid w:val="00C335ED"/>
    <w:rsid w:val="00C37C54"/>
    <w:rsid w:val="00C37D79"/>
    <w:rsid w:val="00C405BC"/>
    <w:rsid w:val="00C41D3C"/>
    <w:rsid w:val="00C41EDC"/>
    <w:rsid w:val="00C437BE"/>
    <w:rsid w:val="00C44511"/>
    <w:rsid w:val="00C448D7"/>
    <w:rsid w:val="00C4567B"/>
    <w:rsid w:val="00C4593C"/>
    <w:rsid w:val="00C4786A"/>
    <w:rsid w:val="00C501CA"/>
    <w:rsid w:val="00C51A45"/>
    <w:rsid w:val="00C53DCD"/>
    <w:rsid w:val="00C54325"/>
    <w:rsid w:val="00C545A2"/>
    <w:rsid w:val="00C54FEE"/>
    <w:rsid w:val="00C55340"/>
    <w:rsid w:val="00C57E24"/>
    <w:rsid w:val="00C60E6E"/>
    <w:rsid w:val="00C60F27"/>
    <w:rsid w:val="00C60F62"/>
    <w:rsid w:val="00C62A4E"/>
    <w:rsid w:val="00C64098"/>
    <w:rsid w:val="00C64D04"/>
    <w:rsid w:val="00C650AE"/>
    <w:rsid w:val="00C66020"/>
    <w:rsid w:val="00C7479D"/>
    <w:rsid w:val="00C7603F"/>
    <w:rsid w:val="00C76B8F"/>
    <w:rsid w:val="00C80EDB"/>
    <w:rsid w:val="00C826E7"/>
    <w:rsid w:val="00C83ABD"/>
    <w:rsid w:val="00C8564D"/>
    <w:rsid w:val="00C865B2"/>
    <w:rsid w:val="00C86A8C"/>
    <w:rsid w:val="00C86B1A"/>
    <w:rsid w:val="00C90AEA"/>
    <w:rsid w:val="00C93B42"/>
    <w:rsid w:val="00C93FFE"/>
    <w:rsid w:val="00C964B7"/>
    <w:rsid w:val="00C96F35"/>
    <w:rsid w:val="00CA1633"/>
    <w:rsid w:val="00CA1A10"/>
    <w:rsid w:val="00CA2BE6"/>
    <w:rsid w:val="00CA4486"/>
    <w:rsid w:val="00CA6395"/>
    <w:rsid w:val="00CA66B9"/>
    <w:rsid w:val="00CB0DFD"/>
    <w:rsid w:val="00CB21BA"/>
    <w:rsid w:val="00CB264E"/>
    <w:rsid w:val="00CB2ACD"/>
    <w:rsid w:val="00CB59D4"/>
    <w:rsid w:val="00CC0198"/>
    <w:rsid w:val="00CC0C70"/>
    <w:rsid w:val="00CC0F19"/>
    <w:rsid w:val="00CC39DE"/>
    <w:rsid w:val="00CC6263"/>
    <w:rsid w:val="00CD049E"/>
    <w:rsid w:val="00CD0566"/>
    <w:rsid w:val="00CD3608"/>
    <w:rsid w:val="00CD487A"/>
    <w:rsid w:val="00CD4B37"/>
    <w:rsid w:val="00CD64B6"/>
    <w:rsid w:val="00CD67C7"/>
    <w:rsid w:val="00CD6E02"/>
    <w:rsid w:val="00CD7875"/>
    <w:rsid w:val="00CE7951"/>
    <w:rsid w:val="00CF20FF"/>
    <w:rsid w:val="00CF2781"/>
    <w:rsid w:val="00CF3E78"/>
    <w:rsid w:val="00CF478D"/>
    <w:rsid w:val="00CF4CE7"/>
    <w:rsid w:val="00CF5511"/>
    <w:rsid w:val="00CF5B54"/>
    <w:rsid w:val="00CF633F"/>
    <w:rsid w:val="00CF6594"/>
    <w:rsid w:val="00D022D2"/>
    <w:rsid w:val="00D04B60"/>
    <w:rsid w:val="00D050B2"/>
    <w:rsid w:val="00D0521F"/>
    <w:rsid w:val="00D05AFF"/>
    <w:rsid w:val="00D064B2"/>
    <w:rsid w:val="00D071DF"/>
    <w:rsid w:val="00D14039"/>
    <w:rsid w:val="00D15C42"/>
    <w:rsid w:val="00D230A3"/>
    <w:rsid w:val="00D23DB1"/>
    <w:rsid w:val="00D25A28"/>
    <w:rsid w:val="00D25E9E"/>
    <w:rsid w:val="00D262E9"/>
    <w:rsid w:val="00D27092"/>
    <w:rsid w:val="00D30352"/>
    <w:rsid w:val="00D34DF8"/>
    <w:rsid w:val="00D43AEB"/>
    <w:rsid w:val="00D444B9"/>
    <w:rsid w:val="00D44A94"/>
    <w:rsid w:val="00D44B67"/>
    <w:rsid w:val="00D520F2"/>
    <w:rsid w:val="00D53A98"/>
    <w:rsid w:val="00D55A75"/>
    <w:rsid w:val="00D57012"/>
    <w:rsid w:val="00D574E9"/>
    <w:rsid w:val="00D57E66"/>
    <w:rsid w:val="00D62E5B"/>
    <w:rsid w:val="00D63433"/>
    <w:rsid w:val="00D63B56"/>
    <w:rsid w:val="00D64C66"/>
    <w:rsid w:val="00D64F8F"/>
    <w:rsid w:val="00D667E3"/>
    <w:rsid w:val="00D728AF"/>
    <w:rsid w:val="00D76715"/>
    <w:rsid w:val="00D779D8"/>
    <w:rsid w:val="00D80769"/>
    <w:rsid w:val="00D8268B"/>
    <w:rsid w:val="00D9205F"/>
    <w:rsid w:val="00D92CB9"/>
    <w:rsid w:val="00D92E72"/>
    <w:rsid w:val="00D942C1"/>
    <w:rsid w:val="00D94969"/>
    <w:rsid w:val="00D97E73"/>
    <w:rsid w:val="00DA0135"/>
    <w:rsid w:val="00DA177E"/>
    <w:rsid w:val="00DA1E6C"/>
    <w:rsid w:val="00DA214F"/>
    <w:rsid w:val="00DA39C4"/>
    <w:rsid w:val="00DA7F07"/>
    <w:rsid w:val="00DB0373"/>
    <w:rsid w:val="00DB10EF"/>
    <w:rsid w:val="00DB1929"/>
    <w:rsid w:val="00DB40D6"/>
    <w:rsid w:val="00DC036C"/>
    <w:rsid w:val="00DC2331"/>
    <w:rsid w:val="00DC2509"/>
    <w:rsid w:val="00DC3276"/>
    <w:rsid w:val="00DC630F"/>
    <w:rsid w:val="00DC64C5"/>
    <w:rsid w:val="00DC6545"/>
    <w:rsid w:val="00DC6DC2"/>
    <w:rsid w:val="00DC73C1"/>
    <w:rsid w:val="00DD232E"/>
    <w:rsid w:val="00DD5272"/>
    <w:rsid w:val="00DD6815"/>
    <w:rsid w:val="00DD6BB6"/>
    <w:rsid w:val="00DD756A"/>
    <w:rsid w:val="00DE1763"/>
    <w:rsid w:val="00DE1B3D"/>
    <w:rsid w:val="00DE42F6"/>
    <w:rsid w:val="00DE47F2"/>
    <w:rsid w:val="00DE5EDA"/>
    <w:rsid w:val="00DE6892"/>
    <w:rsid w:val="00DE6E03"/>
    <w:rsid w:val="00DF39B0"/>
    <w:rsid w:val="00DF61ED"/>
    <w:rsid w:val="00DF73BE"/>
    <w:rsid w:val="00DF7BC9"/>
    <w:rsid w:val="00E04A66"/>
    <w:rsid w:val="00E11866"/>
    <w:rsid w:val="00E12F45"/>
    <w:rsid w:val="00E13E84"/>
    <w:rsid w:val="00E16B0B"/>
    <w:rsid w:val="00E179CB"/>
    <w:rsid w:val="00E17B3F"/>
    <w:rsid w:val="00E17CF1"/>
    <w:rsid w:val="00E20A1D"/>
    <w:rsid w:val="00E215B2"/>
    <w:rsid w:val="00E21B47"/>
    <w:rsid w:val="00E2270C"/>
    <w:rsid w:val="00E23980"/>
    <w:rsid w:val="00E25DE5"/>
    <w:rsid w:val="00E2760A"/>
    <w:rsid w:val="00E27F1D"/>
    <w:rsid w:val="00E327A8"/>
    <w:rsid w:val="00E3437E"/>
    <w:rsid w:val="00E34AF1"/>
    <w:rsid w:val="00E35797"/>
    <w:rsid w:val="00E35F7A"/>
    <w:rsid w:val="00E428D3"/>
    <w:rsid w:val="00E429FE"/>
    <w:rsid w:val="00E42EC5"/>
    <w:rsid w:val="00E43263"/>
    <w:rsid w:val="00E449DB"/>
    <w:rsid w:val="00E44E8C"/>
    <w:rsid w:val="00E5006D"/>
    <w:rsid w:val="00E5097C"/>
    <w:rsid w:val="00E50C0D"/>
    <w:rsid w:val="00E51B29"/>
    <w:rsid w:val="00E535EE"/>
    <w:rsid w:val="00E55368"/>
    <w:rsid w:val="00E56575"/>
    <w:rsid w:val="00E60867"/>
    <w:rsid w:val="00E63517"/>
    <w:rsid w:val="00E64E54"/>
    <w:rsid w:val="00E651FE"/>
    <w:rsid w:val="00E664D8"/>
    <w:rsid w:val="00E67E84"/>
    <w:rsid w:val="00E70F21"/>
    <w:rsid w:val="00E72543"/>
    <w:rsid w:val="00E7276B"/>
    <w:rsid w:val="00E76AA3"/>
    <w:rsid w:val="00E8172F"/>
    <w:rsid w:val="00E829A5"/>
    <w:rsid w:val="00E84644"/>
    <w:rsid w:val="00E87BA1"/>
    <w:rsid w:val="00E90FDC"/>
    <w:rsid w:val="00E910FD"/>
    <w:rsid w:val="00E91175"/>
    <w:rsid w:val="00E959C3"/>
    <w:rsid w:val="00EA0B34"/>
    <w:rsid w:val="00EA4291"/>
    <w:rsid w:val="00EA4A4F"/>
    <w:rsid w:val="00EA5BD6"/>
    <w:rsid w:val="00EA65BD"/>
    <w:rsid w:val="00EA66E3"/>
    <w:rsid w:val="00EA78BF"/>
    <w:rsid w:val="00EB43FC"/>
    <w:rsid w:val="00EB684C"/>
    <w:rsid w:val="00EC05E3"/>
    <w:rsid w:val="00EC0A42"/>
    <w:rsid w:val="00EC33CF"/>
    <w:rsid w:val="00EC4361"/>
    <w:rsid w:val="00EC57DA"/>
    <w:rsid w:val="00ED1DA3"/>
    <w:rsid w:val="00ED1F8D"/>
    <w:rsid w:val="00ED6561"/>
    <w:rsid w:val="00ED67FF"/>
    <w:rsid w:val="00EE31AD"/>
    <w:rsid w:val="00EE357A"/>
    <w:rsid w:val="00EF0256"/>
    <w:rsid w:val="00EF0686"/>
    <w:rsid w:val="00EF6E93"/>
    <w:rsid w:val="00EF6FDE"/>
    <w:rsid w:val="00EF7E3E"/>
    <w:rsid w:val="00F01FC2"/>
    <w:rsid w:val="00F020AF"/>
    <w:rsid w:val="00F04927"/>
    <w:rsid w:val="00F1091C"/>
    <w:rsid w:val="00F11057"/>
    <w:rsid w:val="00F1186B"/>
    <w:rsid w:val="00F13283"/>
    <w:rsid w:val="00F208E5"/>
    <w:rsid w:val="00F20A5D"/>
    <w:rsid w:val="00F226C8"/>
    <w:rsid w:val="00F22B3F"/>
    <w:rsid w:val="00F238FD"/>
    <w:rsid w:val="00F251CE"/>
    <w:rsid w:val="00F333DA"/>
    <w:rsid w:val="00F33EC6"/>
    <w:rsid w:val="00F34A69"/>
    <w:rsid w:val="00F34C2B"/>
    <w:rsid w:val="00F351FA"/>
    <w:rsid w:val="00F36304"/>
    <w:rsid w:val="00F3684B"/>
    <w:rsid w:val="00F36939"/>
    <w:rsid w:val="00F36F86"/>
    <w:rsid w:val="00F37CB4"/>
    <w:rsid w:val="00F40963"/>
    <w:rsid w:val="00F41007"/>
    <w:rsid w:val="00F4143C"/>
    <w:rsid w:val="00F426AC"/>
    <w:rsid w:val="00F4640E"/>
    <w:rsid w:val="00F4675F"/>
    <w:rsid w:val="00F47399"/>
    <w:rsid w:val="00F502C4"/>
    <w:rsid w:val="00F50C21"/>
    <w:rsid w:val="00F50F2D"/>
    <w:rsid w:val="00F51B25"/>
    <w:rsid w:val="00F536A0"/>
    <w:rsid w:val="00F53883"/>
    <w:rsid w:val="00F57B5B"/>
    <w:rsid w:val="00F6132E"/>
    <w:rsid w:val="00F61A8B"/>
    <w:rsid w:val="00F63EED"/>
    <w:rsid w:val="00F64228"/>
    <w:rsid w:val="00F6511F"/>
    <w:rsid w:val="00F65302"/>
    <w:rsid w:val="00F65E95"/>
    <w:rsid w:val="00F71618"/>
    <w:rsid w:val="00F73696"/>
    <w:rsid w:val="00F8082C"/>
    <w:rsid w:val="00F8149D"/>
    <w:rsid w:val="00F83FC8"/>
    <w:rsid w:val="00F85966"/>
    <w:rsid w:val="00F9031C"/>
    <w:rsid w:val="00F90CA0"/>
    <w:rsid w:val="00F90D12"/>
    <w:rsid w:val="00F9149F"/>
    <w:rsid w:val="00F95763"/>
    <w:rsid w:val="00F96D17"/>
    <w:rsid w:val="00F974B5"/>
    <w:rsid w:val="00FA1034"/>
    <w:rsid w:val="00FA3EAA"/>
    <w:rsid w:val="00FA4375"/>
    <w:rsid w:val="00FA44D1"/>
    <w:rsid w:val="00FA52BD"/>
    <w:rsid w:val="00FA5625"/>
    <w:rsid w:val="00FA5C1E"/>
    <w:rsid w:val="00FA7455"/>
    <w:rsid w:val="00FB3084"/>
    <w:rsid w:val="00FB31A3"/>
    <w:rsid w:val="00FC02BC"/>
    <w:rsid w:val="00FC0476"/>
    <w:rsid w:val="00FC1AB9"/>
    <w:rsid w:val="00FC3557"/>
    <w:rsid w:val="00FC6F0B"/>
    <w:rsid w:val="00FD2F96"/>
    <w:rsid w:val="00FD587E"/>
    <w:rsid w:val="00FE1260"/>
    <w:rsid w:val="00FE50D0"/>
    <w:rsid w:val="00FE6129"/>
    <w:rsid w:val="00FE7FB2"/>
    <w:rsid w:val="00FF0A89"/>
    <w:rsid w:val="00FF0E0D"/>
    <w:rsid w:val="00FF1763"/>
    <w:rsid w:val="00FF7B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44085"/>
  <w15:chartTrackingRefBased/>
  <w15:docId w15:val="{2AEACE04-BFB0-48C7-95D6-4E516009F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E35F7A"/>
    <w:rPr>
      <w:sz w:val="16"/>
      <w:szCs w:val="16"/>
    </w:rPr>
  </w:style>
  <w:style w:type="paragraph" w:styleId="Commentaire">
    <w:name w:val="annotation text"/>
    <w:basedOn w:val="Normal"/>
    <w:link w:val="CommentaireCar"/>
    <w:uiPriority w:val="99"/>
    <w:unhideWhenUsed/>
    <w:rsid w:val="00E35F7A"/>
    <w:pPr>
      <w:spacing w:line="240" w:lineRule="auto"/>
    </w:pPr>
    <w:rPr>
      <w:sz w:val="20"/>
      <w:szCs w:val="20"/>
    </w:rPr>
  </w:style>
  <w:style w:type="character" w:customStyle="1" w:styleId="CommentaireCar">
    <w:name w:val="Commentaire Car"/>
    <w:basedOn w:val="Policepardfaut"/>
    <w:link w:val="Commentaire"/>
    <w:uiPriority w:val="99"/>
    <w:rsid w:val="00E35F7A"/>
    <w:rPr>
      <w:sz w:val="20"/>
      <w:szCs w:val="20"/>
    </w:rPr>
  </w:style>
  <w:style w:type="paragraph" w:styleId="Objetducommentaire">
    <w:name w:val="annotation subject"/>
    <w:basedOn w:val="Commentaire"/>
    <w:next w:val="Commentaire"/>
    <w:link w:val="ObjetducommentaireCar"/>
    <w:uiPriority w:val="99"/>
    <w:semiHidden/>
    <w:unhideWhenUsed/>
    <w:rsid w:val="00E35F7A"/>
    <w:rPr>
      <w:b/>
      <w:bCs/>
    </w:rPr>
  </w:style>
  <w:style w:type="character" w:customStyle="1" w:styleId="ObjetducommentaireCar">
    <w:name w:val="Objet du commentaire Car"/>
    <w:basedOn w:val="CommentaireCar"/>
    <w:link w:val="Objetducommentaire"/>
    <w:uiPriority w:val="99"/>
    <w:semiHidden/>
    <w:rsid w:val="00E35F7A"/>
    <w:rPr>
      <w:b/>
      <w:bCs/>
      <w:sz w:val="20"/>
      <w:szCs w:val="20"/>
    </w:rPr>
  </w:style>
  <w:style w:type="paragraph" w:styleId="NormalWeb">
    <w:name w:val="Normal (Web)"/>
    <w:basedOn w:val="Normal"/>
    <w:uiPriority w:val="99"/>
    <w:unhideWhenUsed/>
    <w:rsid w:val="003F719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Rvision">
    <w:name w:val="Revision"/>
    <w:hidden/>
    <w:uiPriority w:val="99"/>
    <w:semiHidden/>
    <w:rsid w:val="005D6868"/>
    <w:pPr>
      <w:spacing w:after="0" w:line="240" w:lineRule="auto"/>
    </w:pPr>
  </w:style>
  <w:style w:type="table" w:styleId="Grilledutableau">
    <w:name w:val="Table Grid"/>
    <w:basedOn w:val="TableauNormal"/>
    <w:uiPriority w:val="59"/>
    <w:rsid w:val="00BD0B03"/>
    <w:pPr>
      <w:spacing w:after="0" w:line="240" w:lineRule="auto"/>
    </w:pPr>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D0B03"/>
    <w:pPr>
      <w:spacing w:after="0" w:line="240" w:lineRule="auto"/>
      <w:ind w:left="720"/>
      <w:contextualSpacing/>
    </w:pPr>
    <w:rPr>
      <w:rFonts w:ascii="Calibri" w:hAnsi="Calibri" w:cs="Calibri"/>
    </w:rPr>
  </w:style>
  <w:style w:type="paragraph" w:styleId="En-tte">
    <w:name w:val="header"/>
    <w:basedOn w:val="Normal"/>
    <w:link w:val="En-tteCar"/>
    <w:uiPriority w:val="99"/>
    <w:unhideWhenUsed/>
    <w:rsid w:val="004B2514"/>
    <w:pPr>
      <w:tabs>
        <w:tab w:val="center" w:pos="4536"/>
        <w:tab w:val="right" w:pos="9072"/>
      </w:tabs>
      <w:spacing w:after="0" w:line="240" w:lineRule="auto"/>
    </w:pPr>
  </w:style>
  <w:style w:type="character" w:customStyle="1" w:styleId="En-tteCar">
    <w:name w:val="En-tête Car"/>
    <w:basedOn w:val="Policepardfaut"/>
    <w:link w:val="En-tte"/>
    <w:uiPriority w:val="99"/>
    <w:rsid w:val="004B2514"/>
  </w:style>
  <w:style w:type="paragraph" w:styleId="Pieddepage">
    <w:name w:val="footer"/>
    <w:basedOn w:val="Normal"/>
    <w:link w:val="PieddepageCar"/>
    <w:uiPriority w:val="99"/>
    <w:unhideWhenUsed/>
    <w:rsid w:val="004B25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B2514"/>
  </w:style>
  <w:style w:type="character" w:styleId="Lienhypertexte">
    <w:name w:val="Hyperlink"/>
    <w:basedOn w:val="Policepardfaut"/>
    <w:uiPriority w:val="99"/>
    <w:unhideWhenUsed/>
    <w:rsid w:val="00B5426C"/>
    <w:rPr>
      <w:color w:val="0563C1"/>
      <w:u w:val="single"/>
    </w:rPr>
  </w:style>
  <w:style w:type="character" w:customStyle="1" w:styleId="baec5a81-e4d6-4674-97f3-e9220f0136c1">
    <w:name w:val="baec5a81-e4d6-4674-97f3-e9220f0136c1"/>
    <w:basedOn w:val="Policepardfaut"/>
    <w:rsid w:val="00B542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81052">
      <w:bodyDiv w:val="1"/>
      <w:marLeft w:val="0"/>
      <w:marRight w:val="0"/>
      <w:marTop w:val="0"/>
      <w:marBottom w:val="0"/>
      <w:divBdr>
        <w:top w:val="none" w:sz="0" w:space="0" w:color="auto"/>
        <w:left w:val="none" w:sz="0" w:space="0" w:color="auto"/>
        <w:bottom w:val="none" w:sz="0" w:space="0" w:color="auto"/>
        <w:right w:val="none" w:sz="0" w:space="0" w:color="auto"/>
      </w:divBdr>
    </w:div>
    <w:div w:id="186137234">
      <w:bodyDiv w:val="1"/>
      <w:marLeft w:val="0"/>
      <w:marRight w:val="0"/>
      <w:marTop w:val="0"/>
      <w:marBottom w:val="0"/>
      <w:divBdr>
        <w:top w:val="none" w:sz="0" w:space="0" w:color="auto"/>
        <w:left w:val="none" w:sz="0" w:space="0" w:color="auto"/>
        <w:bottom w:val="none" w:sz="0" w:space="0" w:color="auto"/>
        <w:right w:val="none" w:sz="0" w:space="0" w:color="auto"/>
      </w:divBdr>
    </w:div>
    <w:div w:id="544216120">
      <w:bodyDiv w:val="1"/>
      <w:marLeft w:val="0"/>
      <w:marRight w:val="0"/>
      <w:marTop w:val="0"/>
      <w:marBottom w:val="0"/>
      <w:divBdr>
        <w:top w:val="none" w:sz="0" w:space="0" w:color="auto"/>
        <w:left w:val="none" w:sz="0" w:space="0" w:color="auto"/>
        <w:bottom w:val="none" w:sz="0" w:space="0" w:color="auto"/>
        <w:right w:val="none" w:sz="0" w:space="0" w:color="auto"/>
      </w:divBdr>
    </w:div>
    <w:div w:id="92858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hoffmann-group.com/FR/fr/hof/hoffmann-group/marques/garant/e/117408/?tId=238"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e.scheeg@hoffmann-group.com"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hoffmann-group.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hoffmann-group.com"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hoffmann-group.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hoffmann-group.com/FR/fr/hof/hoffmann-group/marques/holex/e/68979/" TargetMode="External"/><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378af43-8dc3-4b45-b051-9326b66f2720">
      <Terms xmlns="http://schemas.microsoft.com/office/infopath/2007/PartnerControls"/>
    </lcf76f155ced4ddcb4097134ff3c332f>
    <TaxCatchAll xmlns="954cb2e1-ec23-442f-96e8-f243f6680ee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45BE660A6A2C8459594FDA3743BA745" ma:contentTypeVersion="16" ma:contentTypeDescription="Ein neues Dokument erstellen." ma:contentTypeScope="" ma:versionID="c4006a4f0ef4522c74f6cb11ec386ba0">
  <xsd:schema xmlns:xsd="http://www.w3.org/2001/XMLSchema" xmlns:xs="http://www.w3.org/2001/XMLSchema" xmlns:p="http://schemas.microsoft.com/office/2006/metadata/properties" xmlns:ns2="7378af43-8dc3-4b45-b051-9326b66f2720" xmlns:ns3="954cb2e1-ec23-442f-96e8-f243f6680ee9" targetNamespace="http://schemas.microsoft.com/office/2006/metadata/properties" ma:root="true" ma:fieldsID="e2ff96ed29d8c63e1286b80c59babc0a" ns2:_="" ns3:_="">
    <xsd:import namespace="7378af43-8dc3-4b45-b051-9326b66f2720"/>
    <xsd:import namespace="954cb2e1-ec23-442f-96e8-f243f6680e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78af43-8dc3-4b45-b051-9326b66f27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91eea0b2-d350-4bf1-a103-de66c4b8d3b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4cb2e1-ec23-442f-96e8-f243f6680ee9"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7e1d0203-61f9-4766-9c6f-2b988452361c}" ma:internalName="TaxCatchAll" ma:showField="CatchAllData" ma:web="954cb2e1-ec23-442f-96e8-f243f6680e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4E4E1-3355-4363-829E-6D5B1A7BEB20}">
  <ds:schemaRefs>
    <ds:schemaRef ds:uri="http://schemas.microsoft.com/office/2006/documentManagement/types"/>
    <ds:schemaRef ds:uri="http://purl.org/dc/elements/1.1/"/>
    <ds:schemaRef ds:uri="http://schemas.microsoft.com/office/2006/metadata/properties"/>
    <ds:schemaRef ds:uri="7378af43-8dc3-4b45-b051-9326b66f2720"/>
    <ds:schemaRef ds:uri="http://purl.org/dc/terms/"/>
    <ds:schemaRef ds:uri="http://schemas.microsoft.com/office/infopath/2007/PartnerControls"/>
    <ds:schemaRef ds:uri="http://purl.org/dc/dcmitype/"/>
    <ds:schemaRef ds:uri="http://schemas.openxmlformats.org/package/2006/metadata/core-properties"/>
    <ds:schemaRef ds:uri="954cb2e1-ec23-442f-96e8-f243f6680ee9"/>
    <ds:schemaRef ds:uri="http://www.w3.org/XML/1998/namespace"/>
  </ds:schemaRefs>
</ds:datastoreItem>
</file>

<file path=customXml/itemProps2.xml><?xml version="1.0" encoding="utf-8"?>
<ds:datastoreItem xmlns:ds="http://schemas.openxmlformats.org/officeDocument/2006/customXml" ds:itemID="{242322DD-22A2-4D4D-8FB3-159AC5E5A2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78af43-8dc3-4b45-b051-9326b66f2720"/>
    <ds:schemaRef ds:uri="954cb2e1-ec23-442f-96e8-f243f6680e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A086EB-7AB1-4945-9FBC-52DA00C9B24C}">
  <ds:schemaRefs>
    <ds:schemaRef ds:uri="http://schemas.microsoft.com/sharepoint/v3/contenttype/forms"/>
  </ds:schemaRefs>
</ds:datastoreItem>
</file>

<file path=customXml/itemProps4.xml><?xml version="1.0" encoding="utf-8"?>
<ds:datastoreItem xmlns:ds="http://schemas.openxmlformats.org/officeDocument/2006/customXml" ds:itemID="{6AB82731-2A71-40B0-9B18-141B8799B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2061</Words>
  <Characters>11338</Characters>
  <Application>Microsoft Office Word</Application>
  <DocSecurity>0</DocSecurity>
  <Lines>94</Lines>
  <Paragraphs>26</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Schwab, Yannick</dc:creator>
  <cp:keywords/>
  <dc:description/>
  <cp:lastModifiedBy>Scheeg Eric</cp:lastModifiedBy>
  <cp:revision>3</cp:revision>
  <cp:lastPrinted>2022-11-24T09:34:00Z</cp:lastPrinted>
  <dcterms:created xsi:type="dcterms:W3CDTF">2023-03-21T13:53:00Z</dcterms:created>
  <dcterms:modified xsi:type="dcterms:W3CDTF">2023-03-21T13:54:00Z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0x010100645BE660A6A2C8459594FDA3743BA745</vt:lpwstr>
  </property>
  <property fmtid="{D5CDD505-2E9C-101B-9397-08002B2CF9AE}" pid="3" name="MediaServiceImageTags">
    <vt:lpwstr/>
  </property>
</Properties>
</file>